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EEED" w14:textId="7D1498E4" w:rsidR="007637BF" w:rsidRPr="00A4416B" w:rsidRDefault="00600B25" w:rsidP="00A4416B">
      <w:pPr>
        <w:ind w:left="360"/>
        <w:rPr>
          <w:b/>
          <w:bCs/>
        </w:rPr>
      </w:pPr>
      <w:r w:rsidRPr="00A4416B">
        <w:rPr>
          <w:b/>
          <w:bCs/>
        </w:rPr>
        <w:t xml:space="preserve">Training materials  to discipline Risk management of transgenes </w:t>
      </w:r>
    </w:p>
    <w:p w14:paraId="1A3A4AD5" w14:textId="4955855A" w:rsidR="00600B25" w:rsidRDefault="00600B25" w:rsidP="00A4416B">
      <w:pPr>
        <w:rPr>
          <w:b/>
          <w:bCs/>
        </w:rPr>
      </w:pPr>
    </w:p>
    <w:p w14:paraId="7CF0A557" w14:textId="129C035D" w:rsidR="00600B25" w:rsidRDefault="00600B25" w:rsidP="00A4416B">
      <w:pPr>
        <w:shd w:val="clear" w:color="auto" w:fill="FFFFFF"/>
        <w:spacing w:line="240" w:lineRule="auto"/>
        <w:ind w:left="360"/>
        <w:rPr>
          <w:rFonts w:ascii="Helvetica" w:eastAsia="Times New Roman" w:hAnsi="Helvetica"/>
          <w:color w:val="3B3835"/>
          <w:sz w:val="21"/>
          <w:szCs w:val="21"/>
        </w:rPr>
      </w:pPr>
      <w:r>
        <w:rPr>
          <w:rFonts w:ascii="Helvetica" w:eastAsia="Times New Roman" w:hAnsi="Helvetica"/>
          <w:color w:val="3B3835"/>
          <w:sz w:val="21"/>
          <w:szCs w:val="21"/>
        </w:rPr>
        <w:t>Socio-economic / bioethical issues Risks of GM Crops Food safety Ecological effects Management effects Genetic effects of transformation</w:t>
      </w:r>
    </w:p>
    <w:p w14:paraId="0639B385" w14:textId="6EA8B9A6" w:rsidR="00A4416B" w:rsidRDefault="00A4416B" w:rsidP="00A4416B">
      <w:pPr>
        <w:shd w:val="clear" w:color="auto" w:fill="FFFFFF"/>
        <w:spacing w:line="240" w:lineRule="auto"/>
        <w:ind w:left="360"/>
        <w:rPr>
          <w:rFonts w:ascii="Helvetica" w:eastAsia="Times New Roman" w:hAnsi="Helvetica"/>
          <w:color w:val="3B3835"/>
          <w:sz w:val="21"/>
          <w:szCs w:val="21"/>
        </w:rPr>
      </w:pPr>
    </w:p>
    <w:p w14:paraId="59E70852" w14:textId="77777777" w:rsidR="00A4416B" w:rsidRDefault="00A4416B" w:rsidP="00A4416B">
      <w:pPr>
        <w:shd w:val="clear" w:color="auto" w:fill="FFFFFF"/>
        <w:spacing w:line="240" w:lineRule="auto"/>
        <w:ind w:left="360"/>
        <w:rPr>
          <w:rFonts w:ascii="Helvetica" w:eastAsia="Times New Roman" w:hAnsi="Helvetica"/>
          <w:color w:val="3B3835"/>
          <w:sz w:val="21"/>
          <w:szCs w:val="21"/>
        </w:rPr>
      </w:pPr>
    </w:p>
    <w:p w14:paraId="37040659" w14:textId="79E61386" w:rsidR="00600B25" w:rsidRDefault="00600B25" w:rsidP="00A4416B">
      <w:pPr>
        <w:shd w:val="clear" w:color="auto" w:fill="FFFFFF"/>
        <w:spacing w:line="240" w:lineRule="auto"/>
        <w:ind w:left="360"/>
        <w:rPr>
          <w:rFonts w:ascii="Helvetica" w:eastAsia="Times New Roman" w:hAnsi="Helvetica"/>
          <w:color w:val="3B3835"/>
          <w:sz w:val="21"/>
          <w:szCs w:val="21"/>
        </w:rPr>
      </w:pPr>
      <w:hyperlink r:id="rId5" w:tgtFrame="_blank" w:tooltip="Rescuers use explosives to blast an escape tunnel&#10;to free t..." w:history="1">
        <w:r>
          <w:rPr>
            <w:rStyle w:val="a3"/>
            <w:rFonts w:ascii="Helvetica" w:eastAsia="Times New Roman" w:hAnsi="Helvetica"/>
            <w:color w:val="008ED2"/>
            <w:sz w:val="21"/>
            <w:szCs w:val="21"/>
          </w:rPr>
          <w:t>2. </w:t>
        </w:r>
      </w:hyperlink>
      <w:r>
        <w:rPr>
          <w:rFonts w:ascii="Helvetica" w:eastAsia="Times New Roman" w:hAnsi="Helvetica"/>
          <w:color w:val="3B3835"/>
          <w:sz w:val="21"/>
          <w:szCs w:val="21"/>
        </w:rPr>
        <w:t>Rescuers use explosives to blast an escape tunnel to free two Australian miners trapped underground Lebanese firefighter extinguishes body of truck driver, killed by Israeli planes in attack on Beirut, 17 July 2006 Most major technologies have benefits &amp; risks Canada assesses the risks of the trait (</w:t>
      </w:r>
      <w:proofErr w:type="gramStart"/>
      <w:r>
        <w:rPr>
          <w:rFonts w:ascii="Helvetica" w:eastAsia="Times New Roman" w:hAnsi="Helvetica"/>
          <w:color w:val="3B3835"/>
          <w:sz w:val="21"/>
          <w:szCs w:val="21"/>
        </w:rPr>
        <w:t>e.g.</w:t>
      </w:r>
      <w:proofErr w:type="gramEnd"/>
      <w:r>
        <w:rPr>
          <w:rFonts w:ascii="Helvetica" w:eastAsia="Times New Roman" w:hAnsi="Helvetica"/>
          <w:color w:val="3B3835"/>
          <w:sz w:val="21"/>
          <w:szCs w:val="21"/>
        </w:rPr>
        <w:t xml:space="preserve"> herbicide tolerance) regardless of the technology Europe assesses the risks of the technology regardless of the trait. Assessment of benefit is disallowed Directive 2001/18 &amp; Regulation 1829/2003</w:t>
      </w:r>
    </w:p>
    <w:p w14:paraId="0A87FF55" w14:textId="1E5B18E7" w:rsidR="00A4416B" w:rsidRDefault="00A4416B" w:rsidP="00A4416B">
      <w:pPr>
        <w:shd w:val="clear" w:color="auto" w:fill="FFFFFF"/>
        <w:spacing w:line="240" w:lineRule="auto"/>
        <w:ind w:left="360"/>
        <w:rPr>
          <w:rFonts w:ascii="Helvetica" w:eastAsia="Times New Roman" w:hAnsi="Helvetica"/>
          <w:color w:val="3B3835"/>
          <w:sz w:val="21"/>
          <w:szCs w:val="21"/>
        </w:rPr>
      </w:pPr>
    </w:p>
    <w:p w14:paraId="27D7122A" w14:textId="1297899E" w:rsidR="00A4416B" w:rsidRDefault="00A4416B" w:rsidP="00A4416B">
      <w:pPr>
        <w:shd w:val="clear" w:color="auto" w:fill="FFFFFF"/>
        <w:spacing w:line="240" w:lineRule="auto"/>
        <w:ind w:left="360"/>
        <w:rPr>
          <w:rFonts w:ascii="Helvetica" w:eastAsia="Times New Roman" w:hAnsi="Helvetica"/>
          <w:color w:val="3B3835"/>
          <w:sz w:val="21"/>
          <w:szCs w:val="21"/>
        </w:rPr>
      </w:pPr>
      <w:r>
        <w:rPr>
          <w:noProof/>
        </w:rPr>
        <w:drawing>
          <wp:inline distT="0" distB="0" distL="0" distR="0" wp14:anchorId="0A4D16CC" wp14:editId="0A07A59B">
            <wp:extent cx="6152515" cy="2905125"/>
            <wp:effectExtent l="0" t="0" r="635" b="9525"/>
            <wp:docPr id="1" name="Рисунок 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10;&#10;Автоматически созданное описа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2515" cy="2905125"/>
                    </a:xfrm>
                    <a:prstGeom prst="rect">
                      <a:avLst/>
                    </a:prstGeom>
                    <a:noFill/>
                    <a:ln>
                      <a:noFill/>
                    </a:ln>
                  </pic:spPr>
                </pic:pic>
              </a:graphicData>
            </a:graphic>
          </wp:inline>
        </w:drawing>
      </w:r>
    </w:p>
    <w:p w14:paraId="6EE0D80A" w14:textId="77777777" w:rsidR="00A4416B" w:rsidRDefault="00A4416B" w:rsidP="00A4416B">
      <w:pPr>
        <w:shd w:val="clear" w:color="auto" w:fill="FFFFFF"/>
        <w:spacing w:line="240" w:lineRule="auto"/>
        <w:ind w:left="360"/>
        <w:rPr>
          <w:color w:val="auto"/>
        </w:rPr>
      </w:pPr>
    </w:p>
    <w:p w14:paraId="30745508" w14:textId="6268F08A" w:rsidR="00600B25" w:rsidRDefault="00600B25" w:rsidP="00A4416B">
      <w:pPr>
        <w:shd w:val="clear" w:color="auto" w:fill="FFFFFF"/>
        <w:spacing w:line="240" w:lineRule="auto"/>
        <w:ind w:left="360"/>
        <w:rPr>
          <w:rFonts w:ascii="Helvetica" w:eastAsia="Times New Roman" w:hAnsi="Helvetica"/>
          <w:color w:val="3B3835"/>
          <w:sz w:val="21"/>
          <w:szCs w:val="21"/>
        </w:rPr>
      </w:pPr>
      <w:hyperlink r:id="rId7" w:tgtFrame="_blank" w:tooltip="EFSA: Committed since 2002 to ensuring that Europe’s food i..." w:history="1">
        <w:r>
          <w:rPr>
            <w:rStyle w:val="a3"/>
            <w:rFonts w:ascii="Helvetica" w:eastAsia="Times New Roman" w:hAnsi="Helvetica"/>
            <w:color w:val="008ED2"/>
            <w:sz w:val="21"/>
            <w:szCs w:val="21"/>
          </w:rPr>
          <w:t>3. </w:t>
        </w:r>
      </w:hyperlink>
      <w:r>
        <w:rPr>
          <w:rFonts w:ascii="Helvetica" w:eastAsia="Times New Roman" w:hAnsi="Helvetica"/>
          <w:color w:val="3B3835"/>
          <w:sz w:val="21"/>
          <w:szCs w:val="21"/>
        </w:rPr>
        <w:t>EFSA: Committed since 2002 to ensuring that Europe’s food is safe EFSA GMO Panel 2009 - 2012 21 experts - independent academics</w:t>
      </w:r>
    </w:p>
    <w:p w14:paraId="79EEDF6E" w14:textId="77777777" w:rsidR="00600B25" w:rsidRDefault="00600B25" w:rsidP="00A4416B">
      <w:pPr>
        <w:shd w:val="clear" w:color="auto" w:fill="FFFFFF"/>
        <w:spacing w:line="240" w:lineRule="auto"/>
        <w:ind w:left="360"/>
        <w:rPr>
          <w:rFonts w:ascii="Helvetica" w:eastAsia="Times New Roman" w:hAnsi="Helvetica"/>
          <w:color w:val="3B3835"/>
          <w:sz w:val="21"/>
          <w:szCs w:val="21"/>
        </w:rPr>
      </w:pPr>
      <w:hyperlink r:id="rId8" w:tgtFrame="_blank" w:tooltip="EFSA’s role in GMO applications&#10;In the EU, products that ar..." w:history="1">
        <w:r>
          <w:rPr>
            <w:rStyle w:val="a3"/>
            <w:rFonts w:ascii="Helvetica" w:eastAsia="Times New Roman" w:hAnsi="Helvetica"/>
            <w:color w:val="008ED2"/>
            <w:sz w:val="21"/>
            <w:szCs w:val="21"/>
          </w:rPr>
          <w:t>4. </w:t>
        </w:r>
      </w:hyperlink>
      <w:r>
        <w:rPr>
          <w:rFonts w:ascii="Helvetica" w:eastAsia="Times New Roman" w:hAnsi="Helvetica"/>
          <w:color w:val="3B3835"/>
          <w:sz w:val="21"/>
          <w:szCs w:val="21"/>
        </w:rPr>
        <w:t xml:space="preserve">EFSA’s role in GMO applications </w:t>
      </w:r>
      <w:proofErr w:type="gramStart"/>
      <w:r>
        <w:rPr>
          <w:rFonts w:ascii="Helvetica" w:eastAsia="Times New Roman" w:hAnsi="Helvetica"/>
          <w:color w:val="3B3835"/>
          <w:sz w:val="21"/>
          <w:szCs w:val="21"/>
        </w:rPr>
        <w:t>In</w:t>
      </w:r>
      <w:proofErr w:type="gramEnd"/>
      <w:r>
        <w:rPr>
          <w:rFonts w:ascii="Helvetica" w:eastAsia="Times New Roman" w:hAnsi="Helvetica"/>
          <w:color w:val="3B3835"/>
          <w:sz w:val="21"/>
          <w:szCs w:val="21"/>
        </w:rPr>
        <w:t xml:space="preserve"> the EU, products that are, contain, or are produced from GMOs must have an </w:t>
      </w:r>
      <w:proofErr w:type="spellStart"/>
      <w:r>
        <w:rPr>
          <w:rFonts w:ascii="Helvetica" w:eastAsia="Times New Roman" w:hAnsi="Helvetica"/>
          <w:color w:val="3B3835"/>
          <w:sz w:val="21"/>
          <w:szCs w:val="21"/>
        </w:rPr>
        <w:t>authorisation</w:t>
      </w:r>
      <w:proofErr w:type="spellEnd"/>
      <w:r>
        <w:rPr>
          <w:rFonts w:ascii="Helvetica" w:eastAsia="Times New Roman" w:hAnsi="Helvetica"/>
          <w:color w:val="3B3835"/>
          <w:sz w:val="21"/>
          <w:szCs w:val="21"/>
        </w:rPr>
        <w:t xml:space="preserve"> at the Community level prior to entering the market. • Protection </w:t>
      </w:r>
      <w:r>
        <w:rPr>
          <w:rFonts w:ascii="Helvetica" w:eastAsia="Times New Roman" w:hAnsi="Helvetica"/>
          <w:color w:val="3B3835"/>
          <w:sz w:val="21"/>
          <w:szCs w:val="21"/>
        </w:rPr>
        <w:sym w:font="Symbol" w:char="F0D8"/>
      </w:r>
      <w:r>
        <w:rPr>
          <w:rFonts w:ascii="Helvetica" w:eastAsia="Times New Roman" w:hAnsi="Helvetica"/>
          <w:color w:val="3B3835"/>
          <w:sz w:val="21"/>
          <w:szCs w:val="21"/>
        </w:rPr>
        <w:t xml:space="preserve"> Human and animal health </w:t>
      </w:r>
      <w:r>
        <w:rPr>
          <w:rFonts w:ascii="Helvetica" w:eastAsia="Times New Roman" w:hAnsi="Helvetica"/>
          <w:color w:val="3B3835"/>
          <w:sz w:val="21"/>
          <w:szCs w:val="21"/>
        </w:rPr>
        <w:sym w:font="Symbol" w:char="F0D8"/>
      </w:r>
      <w:r>
        <w:rPr>
          <w:rFonts w:ascii="Helvetica" w:eastAsia="Times New Roman" w:hAnsi="Helvetica"/>
          <w:color w:val="3B3835"/>
          <w:sz w:val="21"/>
          <w:szCs w:val="21"/>
        </w:rPr>
        <w:t xml:space="preserve"> Environment • Risk assessment (RA) </w:t>
      </w:r>
      <w:r>
        <w:rPr>
          <w:rFonts w:ascii="Helvetica" w:eastAsia="Times New Roman" w:hAnsi="Helvetica"/>
          <w:color w:val="3B3835"/>
          <w:sz w:val="21"/>
          <w:szCs w:val="21"/>
        </w:rPr>
        <w:sym w:font="Symbol" w:char="F0D8"/>
      </w:r>
      <w:r>
        <w:rPr>
          <w:rFonts w:ascii="Helvetica" w:eastAsia="Times New Roman" w:hAnsi="Helvetica"/>
          <w:color w:val="3B3835"/>
          <w:sz w:val="21"/>
          <w:szCs w:val="21"/>
        </w:rPr>
        <w:t xml:space="preserve"> </w:t>
      </w:r>
      <w:proofErr w:type="spellStart"/>
      <w:r>
        <w:rPr>
          <w:rFonts w:ascii="Helvetica" w:eastAsia="Times New Roman" w:hAnsi="Helvetica"/>
          <w:color w:val="3B3835"/>
          <w:sz w:val="21"/>
          <w:szCs w:val="21"/>
        </w:rPr>
        <w:t>Characterisation</w:t>
      </w:r>
      <w:proofErr w:type="spellEnd"/>
      <w:r>
        <w:rPr>
          <w:rFonts w:ascii="Helvetica" w:eastAsia="Times New Roman" w:hAnsi="Helvetica"/>
          <w:color w:val="3B3835"/>
          <w:sz w:val="21"/>
          <w:szCs w:val="21"/>
        </w:rPr>
        <w:t xml:space="preserve"> of potential adverse effects associated with GM plant deployment/use – Direct; indirect; immediate; delayed; cumulative effects</w:t>
      </w:r>
    </w:p>
    <w:p w14:paraId="5BFE82C2" w14:textId="77777777" w:rsidR="00600B25" w:rsidRDefault="00600B25" w:rsidP="00A4416B">
      <w:pPr>
        <w:shd w:val="clear" w:color="auto" w:fill="FFFFFF"/>
        <w:spacing w:line="240" w:lineRule="auto"/>
        <w:ind w:left="360"/>
        <w:rPr>
          <w:rFonts w:ascii="Helvetica" w:eastAsia="Times New Roman" w:hAnsi="Helvetica"/>
          <w:color w:val="3B3835"/>
          <w:sz w:val="21"/>
          <w:szCs w:val="21"/>
        </w:rPr>
      </w:pPr>
      <w:hyperlink r:id="rId9" w:tgtFrame="_blank" w:tooltip="EFSA advises – European Union decides&#10;• 27 EU Member States..." w:history="1">
        <w:r>
          <w:rPr>
            <w:rStyle w:val="a3"/>
            <w:rFonts w:ascii="Helvetica" w:eastAsia="Times New Roman" w:hAnsi="Helvetica"/>
            <w:color w:val="008ED2"/>
            <w:sz w:val="21"/>
            <w:szCs w:val="21"/>
          </w:rPr>
          <w:t>5. </w:t>
        </w:r>
      </w:hyperlink>
      <w:r>
        <w:rPr>
          <w:rFonts w:ascii="Helvetica" w:eastAsia="Times New Roman" w:hAnsi="Helvetica"/>
          <w:color w:val="3B3835"/>
          <w:sz w:val="21"/>
          <w:szCs w:val="21"/>
        </w:rPr>
        <w:t xml:space="preserve">EFSA advises – European Union decides • 27 EU Member States vote on approvals of GMOs • Need qualified majority • Despite WTO rules - votes are on political basis • Qualified majority not usually obtained, especially for cultivation • Then European Commission (DG SANCO) </w:t>
      </w:r>
      <w:proofErr w:type="gramStart"/>
      <w:r>
        <w:rPr>
          <w:rFonts w:ascii="Helvetica" w:eastAsia="Times New Roman" w:hAnsi="Helvetica"/>
          <w:color w:val="3B3835"/>
          <w:sz w:val="21"/>
          <w:szCs w:val="21"/>
        </w:rPr>
        <w:t>have to</w:t>
      </w:r>
      <w:proofErr w:type="gramEnd"/>
      <w:r>
        <w:rPr>
          <w:rFonts w:ascii="Helvetica" w:eastAsia="Times New Roman" w:hAnsi="Helvetica"/>
          <w:color w:val="3B3835"/>
          <w:sz w:val="21"/>
          <w:szCs w:val="21"/>
        </w:rPr>
        <w:t xml:space="preserve"> decide</w:t>
      </w:r>
    </w:p>
    <w:p w14:paraId="4DEB39CC" w14:textId="42CCE5C7" w:rsidR="00600B25" w:rsidRDefault="00600B25" w:rsidP="00A4416B">
      <w:pPr>
        <w:shd w:val="clear" w:color="auto" w:fill="FFFFFF"/>
        <w:spacing w:line="240" w:lineRule="auto"/>
        <w:ind w:left="360"/>
        <w:rPr>
          <w:rFonts w:ascii="Helvetica" w:eastAsia="Times New Roman" w:hAnsi="Helvetica"/>
          <w:color w:val="3B3835"/>
          <w:sz w:val="21"/>
          <w:szCs w:val="21"/>
        </w:rPr>
      </w:pPr>
      <w:hyperlink r:id="rId10" w:tgtFrame="_blank" w:tooltip="Member states voting patterns on GMOs&#10; " w:history="1">
        <w:r>
          <w:rPr>
            <w:rStyle w:val="a3"/>
            <w:rFonts w:ascii="Helvetica" w:eastAsia="Times New Roman" w:hAnsi="Helvetica"/>
            <w:color w:val="008ED2"/>
            <w:sz w:val="21"/>
            <w:szCs w:val="21"/>
          </w:rPr>
          <w:t>6. </w:t>
        </w:r>
      </w:hyperlink>
      <w:r>
        <w:rPr>
          <w:rFonts w:ascii="Helvetica" w:eastAsia="Times New Roman" w:hAnsi="Helvetica"/>
          <w:color w:val="3B3835"/>
          <w:sz w:val="21"/>
          <w:szCs w:val="21"/>
        </w:rPr>
        <w:t>Member states voting patterns on GMOs</w:t>
      </w:r>
    </w:p>
    <w:p w14:paraId="4997DDBB" w14:textId="622231FD" w:rsidR="00A4416B" w:rsidRDefault="00A4416B" w:rsidP="00A4416B">
      <w:pPr>
        <w:shd w:val="clear" w:color="auto" w:fill="FFFFFF"/>
        <w:spacing w:line="240" w:lineRule="auto"/>
        <w:ind w:left="360"/>
        <w:rPr>
          <w:rFonts w:ascii="Helvetica" w:eastAsia="Times New Roman" w:hAnsi="Helvetica"/>
          <w:color w:val="3B3835"/>
          <w:sz w:val="21"/>
          <w:szCs w:val="21"/>
        </w:rPr>
      </w:pPr>
    </w:p>
    <w:p w14:paraId="54E495B2" w14:textId="001E44AA" w:rsidR="00A4416B" w:rsidRDefault="00A4416B" w:rsidP="00A4416B">
      <w:pPr>
        <w:shd w:val="clear" w:color="auto" w:fill="FFFFFF"/>
        <w:spacing w:line="240" w:lineRule="auto"/>
        <w:ind w:left="360"/>
        <w:rPr>
          <w:rFonts w:ascii="Helvetica" w:eastAsia="Times New Roman" w:hAnsi="Helvetica"/>
          <w:color w:val="3B3835"/>
          <w:sz w:val="21"/>
          <w:szCs w:val="21"/>
        </w:rPr>
      </w:pPr>
      <w:r>
        <w:rPr>
          <w:noProof/>
        </w:rPr>
        <w:lastRenderedPageBreak/>
        <w:drawing>
          <wp:inline distT="0" distB="0" distL="0" distR="0" wp14:anchorId="1ADAB531" wp14:editId="6C106AD1">
            <wp:extent cx="6152515" cy="1800225"/>
            <wp:effectExtent l="0" t="0" r="635" b="9525"/>
            <wp:docPr id="2" name="Рисунок 2"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10;&#10;Автоматически созданное описани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2515" cy="1800225"/>
                    </a:xfrm>
                    <a:prstGeom prst="rect">
                      <a:avLst/>
                    </a:prstGeom>
                    <a:noFill/>
                    <a:ln>
                      <a:noFill/>
                    </a:ln>
                  </pic:spPr>
                </pic:pic>
              </a:graphicData>
            </a:graphic>
          </wp:inline>
        </w:drawing>
      </w:r>
    </w:p>
    <w:p w14:paraId="698F4068" w14:textId="5EC6F1C6" w:rsidR="00A4416B" w:rsidRDefault="00A4416B" w:rsidP="00A4416B">
      <w:pPr>
        <w:shd w:val="clear" w:color="auto" w:fill="FFFFFF"/>
        <w:spacing w:line="240" w:lineRule="auto"/>
        <w:ind w:left="360"/>
        <w:rPr>
          <w:rFonts w:ascii="Helvetica" w:eastAsia="Times New Roman" w:hAnsi="Helvetica"/>
          <w:color w:val="3B3835"/>
          <w:sz w:val="21"/>
          <w:szCs w:val="21"/>
        </w:rPr>
      </w:pPr>
      <w:r w:rsidRPr="00A4416B">
        <w:rPr>
          <w:noProof/>
          <w:sz w:val="20"/>
          <w:szCs w:val="20"/>
        </w:rPr>
        <w:drawing>
          <wp:inline distT="0" distB="0" distL="0" distR="0" wp14:anchorId="222D953D" wp14:editId="2AA55BC9">
            <wp:extent cx="6152515" cy="1866900"/>
            <wp:effectExtent l="0" t="0" r="635" b="0"/>
            <wp:docPr id="3" name="Рисунок 3"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10;&#10;Автоматически созданное описани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2515" cy="1866900"/>
                    </a:xfrm>
                    <a:prstGeom prst="rect">
                      <a:avLst/>
                    </a:prstGeom>
                    <a:noFill/>
                    <a:ln>
                      <a:noFill/>
                    </a:ln>
                  </pic:spPr>
                </pic:pic>
              </a:graphicData>
            </a:graphic>
          </wp:inline>
        </w:drawing>
      </w:r>
    </w:p>
    <w:p w14:paraId="4F1CD16E" w14:textId="77777777" w:rsidR="00A4416B" w:rsidRDefault="00A4416B" w:rsidP="00A4416B">
      <w:pPr>
        <w:shd w:val="clear" w:color="auto" w:fill="FFFFFF"/>
        <w:spacing w:line="240" w:lineRule="auto"/>
        <w:ind w:left="360"/>
        <w:rPr>
          <w:rFonts w:ascii="Helvetica" w:eastAsia="Times New Roman" w:hAnsi="Helvetica"/>
          <w:color w:val="3B3835"/>
          <w:sz w:val="21"/>
          <w:szCs w:val="21"/>
        </w:rPr>
      </w:pPr>
    </w:p>
    <w:p w14:paraId="54152179" w14:textId="77777777" w:rsidR="00600B25" w:rsidRDefault="00600B25" w:rsidP="00A4416B">
      <w:pPr>
        <w:shd w:val="clear" w:color="auto" w:fill="FFFFFF"/>
        <w:spacing w:line="240" w:lineRule="auto"/>
        <w:ind w:left="360"/>
        <w:rPr>
          <w:rFonts w:ascii="Helvetica" w:eastAsia="Times New Roman" w:hAnsi="Helvetica"/>
          <w:color w:val="3B3835"/>
          <w:sz w:val="21"/>
          <w:szCs w:val="21"/>
        </w:rPr>
      </w:pPr>
      <w:hyperlink r:id="rId13" w:tgtFrame="_blank" w:tooltip="Number of approved GM products in&#10;EU, US, Brazil and Canada&#10; " w:history="1">
        <w:r>
          <w:rPr>
            <w:rStyle w:val="a3"/>
            <w:rFonts w:ascii="Helvetica" w:eastAsia="Times New Roman" w:hAnsi="Helvetica"/>
            <w:color w:val="008ED2"/>
            <w:sz w:val="21"/>
            <w:szCs w:val="21"/>
          </w:rPr>
          <w:t>7. </w:t>
        </w:r>
      </w:hyperlink>
      <w:r>
        <w:rPr>
          <w:rFonts w:ascii="Helvetica" w:eastAsia="Times New Roman" w:hAnsi="Helvetica"/>
          <w:color w:val="3B3835"/>
          <w:sz w:val="21"/>
          <w:szCs w:val="21"/>
        </w:rPr>
        <w:t xml:space="preserve">Number of approved GM products in EU, US, </w:t>
      </w:r>
      <w:proofErr w:type="gramStart"/>
      <w:r>
        <w:rPr>
          <w:rFonts w:ascii="Helvetica" w:eastAsia="Times New Roman" w:hAnsi="Helvetica"/>
          <w:color w:val="3B3835"/>
          <w:sz w:val="21"/>
          <w:szCs w:val="21"/>
        </w:rPr>
        <w:t>Brazil</w:t>
      </w:r>
      <w:proofErr w:type="gramEnd"/>
      <w:r>
        <w:rPr>
          <w:rFonts w:ascii="Helvetica" w:eastAsia="Times New Roman" w:hAnsi="Helvetica"/>
          <w:color w:val="3B3835"/>
          <w:sz w:val="21"/>
          <w:szCs w:val="21"/>
        </w:rPr>
        <w:t xml:space="preserve"> and Canada</w:t>
      </w:r>
    </w:p>
    <w:p w14:paraId="49B1FB0B" w14:textId="77777777" w:rsidR="00600B25" w:rsidRDefault="00600B25" w:rsidP="00A4416B">
      <w:pPr>
        <w:shd w:val="clear" w:color="auto" w:fill="FFFFFF"/>
        <w:spacing w:line="240" w:lineRule="auto"/>
        <w:ind w:left="360"/>
        <w:rPr>
          <w:rFonts w:ascii="Helvetica" w:eastAsia="Times New Roman" w:hAnsi="Helvetica"/>
          <w:color w:val="3B3835"/>
          <w:sz w:val="21"/>
          <w:szCs w:val="21"/>
        </w:rPr>
      </w:pPr>
      <w:hyperlink r:id="rId14" w:tgtFrame="_blank" w:tooltip="Average duration of authorization of&#10;GM food-feed imported ..." w:history="1">
        <w:r>
          <w:rPr>
            <w:rStyle w:val="a3"/>
            <w:rFonts w:ascii="Helvetica" w:eastAsia="Times New Roman" w:hAnsi="Helvetica"/>
            <w:color w:val="008ED2"/>
            <w:sz w:val="21"/>
            <w:szCs w:val="21"/>
          </w:rPr>
          <w:t>8. </w:t>
        </w:r>
      </w:hyperlink>
      <w:r>
        <w:rPr>
          <w:rFonts w:ascii="Helvetica" w:eastAsia="Times New Roman" w:hAnsi="Helvetica"/>
          <w:color w:val="3B3835"/>
          <w:sz w:val="21"/>
          <w:szCs w:val="21"/>
        </w:rPr>
        <w:t>Average duration of authorization of GM food-feed imported product (not for cultivation) in the EU</w:t>
      </w:r>
    </w:p>
    <w:p w14:paraId="4BF8B7E7" w14:textId="77777777" w:rsidR="00600B25" w:rsidRDefault="00600B25" w:rsidP="00A4416B">
      <w:pPr>
        <w:shd w:val="clear" w:color="auto" w:fill="FFFFFF"/>
        <w:spacing w:line="240" w:lineRule="auto"/>
        <w:ind w:left="360"/>
        <w:rPr>
          <w:rFonts w:ascii="Helvetica" w:eastAsia="Times New Roman" w:hAnsi="Helvetica"/>
          <w:color w:val="3B3835"/>
          <w:sz w:val="21"/>
          <w:szCs w:val="21"/>
        </w:rPr>
      </w:pPr>
      <w:hyperlink r:id="rId15" w:tgtFrame="_blank" w:tooltip="Scope of GMO applications&#10;Food&#10;• GMO for food use&#10;• Food co..." w:history="1">
        <w:r>
          <w:rPr>
            <w:rStyle w:val="a3"/>
            <w:rFonts w:ascii="Helvetica" w:eastAsia="Times New Roman" w:hAnsi="Helvetica"/>
            <w:color w:val="008ED2"/>
            <w:sz w:val="21"/>
            <w:szCs w:val="21"/>
          </w:rPr>
          <w:t>9. </w:t>
        </w:r>
      </w:hyperlink>
      <w:r>
        <w:rPr>
          <w:rFonts w:ascii="Helvetica" w:eastAsia="Times New Roman" w:hAnsi="Helvetica"/>
          <w:color w:val="3B3835"/>
          <w:sz w:val="21"/>
          <w:szCs w:val="21"/>
        </w:rPr>
        <w:t>Scope of GMO applications Food • GMO for food use • Food containing or consisting of GMOs • Food produced from or containing ingredients produced from GMO Feed • GMO for feed use • Feed containing or consisting of GMOs • Feed produced from GMOs Deliberate release into the environment • Import and processing • Seeds and plant propagation material for cultivation EFSA carries out scientific risk assessment on GMOs to conclude on whether they are as safe as their conventional equivalents</w:t>
      </w:r>
    </w:p>
    <w:p w14:paraId="1FB3E9C5" w14:textId="77777777" w:rsidR="00600B25" w:rsidRDefault="00600B25" w:rsidP="00A4416B">
      <w:pPr>
        <w:shd w:val="clear" w:color="auto" w:fill="FFFFFF"/>
        <w:spacing w:line="240" w:lineRule="auto"/>
        <w:ind w:left="360"/>
        <w:rPr>
          <w:rFonts w:ascii="Helvetica" w:eastAsia="Times New Roman" w:hAnsi="Helvetica"/>
          <w:color w:val="3B3835"/>
          <w:sz w:val="21"/>
          <w:szCs w:val="21"/>
        </w:rPr>
      </w:pPr>
      <w:hyperlink r:id="rId16" w:tgtFrame="_blank" w:tooltip="For risk assessment, the average&#10;dossier of information&#10;sup..." w:history="1">
        <w:r>
          <w:rPr>
            <w:rStyle w:val="a3"/>
            <w:rFonts w:ascii="Helvetica" w:eastAsia="Times New Roman" w:hAnsi="Helvetica"/>
            <w:color w:val="008ED2"/>
            <w:sz w:val="21"/>
            <w:szCs w:val="21"/>
          </w:rPr>
          <w:t>10. </w:t>
        </w:r>
      </w:hyperlink>
      <w:r>
        <w:rPr>
          <w:rFonts w:ascii="Helvetica" w:eastAsia="Times New Roman" w:hAnsi="Helvetica"/>
          <w:color w:val="3B3835"/>
          <w:sz w:val="21"/>
          <w:szCs w:val="21"/>
        </w:rPr>
        <w:t xml:space="preserve">For risk assessment, the average dossier of information supplied by a company seeking to import GM food into the EU comprises 2000 pages of evidence (does not all fit onto one CD) “not by any to be </w:t>
      </w:r>
      <w:proofErr w:type="spellStart"/>
      <w:r>
        <w:rPr>
          <w:rFonts w:ascii="Helvetica" w:eastAsia="Times New Roman" w:hAnsi="Helvetica"/>
          <w:color w:val="3B3835"/>
          <w:sz w:val="21"/>
          <w:szCs w:val="21"/>
        </w:rPr>
        <w:t>enterprised</w:t>
      </w:r>
      <w:proofErr w:type="spellEnd"/>
      <w:r>
        <w:rPr>
          <w:rFonts w:ascii="Helvetica" w:eastAsia="Times New Roman" w:hAnsi="Helvetica"/>
          <w:color w:val="3B3835"/>
          <w:sz w:val="21"/>
          <w:szCs w:val="21"/>
        </w:rPr>
        <w:t>, nor taken in hand unadvisedly, lightly, or wantonly; but reverently, discreetly, soberly, and in the fear of God”</w:t>
      </w:r>
    </w:p>
    <w:p w14:paraId="541BDDAB" w14:textId="77777777" w:rsidR="00600B25" w:rsidRDefault="00600B25" w:rsidP="00A4416B">
      <w:pPr>
        <w:shd w:val="clear" w:color="auto" w:fill="FFFFFF"/>
        <w:spacing w:line="240" w:lineRule="auto"/>
        <w:ind w:left="360"/>
        <w:rPr>
          <w:rFonts w:ascii="Helvetica" w:eastAsia="Times New Roman" w:hAnsi="Helvetica"/>
          <w:color w:val="3B3835"/>
          <w:sz w:val="21"/>
          <w:szCs w:val="21"/>
        </w:rPr>
      </w:pPr>
      <w:hyperlink r:id="rId17" w:tgtFrame="_blank" w:tooltip="EFSA GMO Panel expertise&#10;MOLECULAR&#10;CHARACTERISATION&#10;• bioch..." w:history="1">
        <w:r>
          <w:rPr>
            <w:rStyle w:val="a3"/>
            <w:rFonts w:ascii="Helvetica" w:eastAsia="Times New Roman" w:hAnsi="Helvetica"/>
            <w:color w:val="008ED2"/>
            <w:sz w:val="21"/>
            <w:szCs w:val="21"/>
          </w:rPr>
          <w:t>11. </w:t>
        </w:r>
      </w:hyperlink>
      <w:r>
        <w:rPr>
          <w:rFonts w:ascii="Helvetica" w:eastAsia="Times New Roman" w:hAnsi="Helvetica"/>
          <w:color w:val="3B3835"/>
          <w:sz w:val="21"/>
          <w:szCs w:val="21"/>
        </w:rPr>
        <w:t xml:space="preserve">EFSA GMO Panel expertise MOLECULAR CHARACTERISATION • biochemistry • molecular biology • genetics • plant breeding • microbiology FOOD FEED SAFETY • toxicology • immunology • nutrition &amp; animal feed • food chemistry • biotechnology ENVIRONMENTAL RISK ASSESSMENT • plant biology • ecology • agronomy • entomology • biometrics &amp; statistics Working groups with Ad-hoc experts in new techniques Working Groups with Ad-hoc experts in pesticides, natural toxins, environmental monitoring Working groups with Ad-hoc experts in food sciences, animal pathology •14 EFSA staff </w:t>
      </w:r>
      <w:proofErr w:type="spellStart"/>
      <w:r>
        <w:rPr>
          <w:rFonts w:ascii="Helvetica" w:eastAsia="Times New Roman" w:hAnsi="Helvetica"/>
          <w:color w:val="3B3835"/>
          <w:sz w:val="21"/>
          <w:szCs w:val="21"/>
        </w:rPr>
        <w:t>scientistes</w:t>
      </w:r>
      <w:proofErr w:type="spellEnd"/>
      <w:r>
        <w:rPr>
          <w:rFonts w:ascii="Helvetica" w:eastAsia="Times New Roman" w:hAnsi="Helvetica"/>
          <w:color w:val="3B3835"/>
          <w:sz w:val="21"/>
          <w:szCs w:val="21"/>
        </w:rPr>
        <w:t xml:space="preserve"> •70 ad hoc experts •210 MS experts from 108 </w:t>
      </w:r>
      <w:proofErr w:type="spellStart"/>
      <w:r>
        <w:rPr>
          <w:rFonts w:ascii="Helvetica" w:eastAsia="Times New Roman" w:hAnsi="Helvetica"/>
          <w:color w:val="3B3835"/>
          <w:sz w:val="21"/>
          <w:szCs w:val="21"/>
        </w:rPr>
        <w:t>organisations</w:t>
      </w:r>
      <w:proofErr w:type="spellEnd"/>
      <w:r>
        <w:rPr>
          <w:rFonts w:ascii="Helvetica" w:eastAsia="Times New Roman" w:hAnsi="Helvetica"/>
          <w:color w:val="3B3835"/>
          <w:sz w:val="21"/>
          <w:szCs w:val="21"/>
        </w:rPr>
        <w:t xml:space="preserve"> and authorities of EU Member States EFSA GMO Panel of 19 external experts Renewed every 3 years</w:t>
      </w:r>
    </w:p>
    <w:p w14:paraId="4C13BE50" w14:textId="77777777" w:rsidR="00600B25" w:rsidRDefault="00600B25" w:rsidP="00A4416B">
      <w:pPr>
        <w:shd w:val="clear" w:color="auto" w:fill="FFFFFF"/>
        <w:spacing w:line="240" w:lineRule="auto"/>
        <w:ind w:left="360"/>
        <w:rPr>
          <w:rFonts w:ascii="Helvetica" w:eastAsia="Times New Roman" w:hAnsi="Helvetica"/>
          <w:color w:val="3B3835"/>
          <w:sz w:val="21"/>
          <w:szCs w:val="21"/>
        </w:rPr>
      </w:pPr>
      <w:hyperlink r:id="rId18" w:tgtFrame="_blank" w:tooltip="GM: 130&#10;Non-GM&#10;comparator: 115&#10;Compositional analysis&#10;The c..." w:history="1">
        <w:r>
          <w:rPr>
            <w:rStyle w:val="a3"/>
            <w:rFonts w:ascii="Helvetica" w:eastAsia="Times New Roman" w:hAnsi="Helvetica"/>
            <w:color w:val="008ED2"/>
            <w:sz w:val="21"/>
            <w:szCs w:val="21"/>
          </w:rPr>
          <w:t>12. </w:t>
        </w:r>
      </w:hyperlink>
      <w:r>
        <w:rPr>
          <w:rFonts w:ascii="Helvetica" w:eastAsia="Times New Roman" w:hAnsi="Helvetica"/>
          <w:color w:val="3B3835"/>
          <w:sz w:val="21"/>
          <w:szCs w:val="21"/>
        </w:rPr>
        <w:t xml:space="preserve">GM: 130 Non-GM comparator: 115 Compositional analysis </w:t>
      </w:r>
      <w:proofErr w:type="gramStart"/>
      <w:r>
        <w:rPr>
          <w:rFonts w:ascii="Helvetica" w:eastAsia="Times New Roman" w:hAnsi="Helvetica"/>
          <w:color w:val="3B3835"/>
          <w:sz w:val="21"/>
          <w:szCs w:val="21"/>
        </w:rPr>
        <w:t>The</w:t>
      </w:r>
      <w:proofErr w:type="gramEnd"/>
      <w:r>
        <w:rPr>
          <w:rFonts w:ascii="Helvetica" w:eastAsia="Times New Roman" w:hAnsi="Helvetica"/>
          <w:color w:val="3B3835"/>
          <w:sz w:val="21"/>
          <w:szCs w:val="21"/>
        </w:rPr>
        <w:t xml:space="preserve"> comparative approach A test of difference: GMO vs near-isogenic comparator 100 150 200 endpoint </w:t>
      </w:r>
      <w:proofErr w:type="spellStart"/>
      <w:r>
        <w:rPr>
          <w:rFonts w:ascii="Helvetica" w:eastAsia="Times New Roman" w:hAnsi="Helvetica"/>
          <w:color w:val="3B3835"/>
          <w:sz w:val="21"/>
          <w:szCs w:val="21"/>
        </w:rPr>
        <w:t>Aendpoint</w:t>
      </w:r>
      <w:proofErr w:type="spellEnd"/>
      <w:r>
        <w:rPr>
          <w:rFonts w:ascii="Helvetica" w:eastAsia="Times New Roman" w:hAnsi="Helvetica"/>
          <w:color w:val="3B3835"/>
          <w:sz w:val="21"/>
          <w:szCs w:val="21"/>
        </w:rPr>
        <w:t xml:space="preserve"> A 100 150 200</w:t>
      </w:r>
    </w:p>
    <w:p w14:paraId="2C78F10F" w14:textId="77777777" w:rsidR="00600B25" w:rsidRDefault="00600B25" w:rsidP="00A4416B">
      <w:pPr>
        <w:shd w:val="clear" w:color="auto" w:fill="FFFFFF"/>
        <w:spacing w:line="240" w:lineRule="auto"/>
        <w:ind w:left="360"/>
        <w:rPr>
          <w:rFonts w:ascii="Helvetica" w:eastAsia="Times New Roman" w:hAnsi="Helvetica"/>
          <w:color w:val="3B3835"/>
          <w:sz w:val="21"/>
          <w:szCs w:val="21"/>
        </w:rPr>
      </w:pPr>
      <w:hyperlink r:id="rId19" w:tgtFrame="_blank" w:tooltip="GM: 130&#10;The principle of a ‘history of safe use’&#10;Commercial..." w:history="1">
        <w:r>
          <w:rPr>
            <w:rStyle w:val="a3"/>
            <w:rFonts w:ascii="Helvetica" w:eastAsia="Times New Roman" w:hAnsi="Helvetica"/>
            <w:color w:val="008ED2"/>
            <w:sz w:val="21"/>
            <w:szCs w:val="21"/>
          </w:rPr>
          <w:t>13. </w:t>
        </w:r>
      </w:hyperlink>
      <w:r>
        <w:rPr>
          <w:rFonts w:ascii="Helvetica" w:eastAsia="Times New Roman" w:hAnsi="Helvetica"/>
          <w:color w:val="3B3835"/>
          <w:sz w:val="21"/>
          <w:szCs w:val="21"/>
        </w:rPr>
        <w:t>GM: 130 The principle of a ‘history of safe use’ Commercial varieties endpoint A 100 150 200</w:t>
      </w:r>
    </w:p>
    <w:p w14:paraId="36C498CD" w14:textId="77777777" w:rsidR="00600B25" w:rsidRDefault="00600B25" w:rsidP="00A4416B">
      <w:pPr>
        <w:shd w:val="clear" w:color="auto" w:fill="FFFFFF"/>
        <w:spacing w:line="240" w:lineRule="auto"/>
        <w:ind w:left="360"/>
        <w:rPr>
          <w:rFonts w:ascii="Helvetica" w:eastAsia="Times New Roman" w:hAnsi="Helvetica"/>
          <w:color w:val="3B3835"/>
          <w:sz w:val="21"/>
          <w:szCs w:val="21"/>
        </w:rPr>
      </w:pPr>
      <w:hyperlink r:id="rId20" w:tgtFrame="_blank" w:tooltip="Commercial varieties form a distribution&#10;leads to an equiva..." w:history="1">
        <w:r>
          <w:rPr>
            <w:rStyle w:val="a3"/>
            <w:rFonts w:ascii="Helvetica" w:eastAsia="Times New Roman" w:hAnsi="Helvetica"/>
            <w:color w:val="008ED2"/>
            <w:sz w:val="21"/>
            <w:szCs w:val="21"/>
          </w:rPr>
          <w:t>14. </w:t>
        </w:r>
      </w:hyperlink>
      <w:r>
        <w:rPr>
          <w:rFonts w:ascii="Helvetica" w:eastAsia="Times New Roman" w:hAnsi="Helvetica"/>
          <w:color w:val="3B3835"/>
          <w:sz w:val="21"/>
          <w:szCs w:val="21"/>
        </w:rPr>
        <w:t xml:space="preserve">Commercial varieties form a </w:t>
      </w:r>
      <w:proofErr w:type="gramStart"/>
      <w:r>
        <w:rPr>
          <w:rFonts w:ascii="Helvetica" w:eastAsia="Times New Roman" w:hAnsi="Helvetica"/>
          <w:color w:val="3B3835"/>
          <w:sz w:val="21"/>
          <w:szCs w:val="21"/>
        </w:rPr>
        <w:t>distribution leads</w:t>
      </w:r>
      <w:proofErr w:type="gramEnd"/>
      <w:r>
        <w:rPr>
          <w:rFonts w:ascii="Helvetica" w:eastAsia="Times New Roman" w:hAnsi="Helvetica"/>
          <w:color w:val="3B3835"/>
          <w:sz w:val="21"/>
          <w:szCs w:val="21"/>
        </w:rPr>
        <w:t xml:space="preserve"> to an equivalence test (</w:t>
      </w:r>
      <w:proofErr w:type="spellStart"/>
      <w:r>
        <w:rPr>
          <w:rFonts w:ascii="Helvetica" w:eastAsia="Times New Roman" w:hAnsi="Helvetica"/>
          <w:color w:val="3B3835"/>
          <w:sz w:val="21"/>
          <w:szCs w:val="21"/>
        </w:rPr>
        <w:t>cf</w:t>
      </w:r>
      <w:proofErr w:type="spellEnd"/>
      <w:r>
        <w:rPr>
          <w:rFonts w:ascii="Helvetica" w:eastAsia="Times New Roman" w:hAnsi="Helvetica"/>
          <w:color w:val="3B3835"/>
          <w:sz w:val="21"/>
          <w:szCs w:val="21"/>
        </w:rPr>
        <w:t xml:space="preserve"> pharmaceutical risk assessment) Commercial varieties: μ=125 ; σ=15 endpoint A 100 125 150</w:t>
      </w:r>
    </w:p>
    <w:p w14:paraId="2F26CDD6" w14:textId="77777777" w:rsidR="00600B25" w:rsidRDefault="00600B25" w:rsidP="00A4416B">
      <w:pPr>
        <w:shd w:val="clear" w:color="auto" w:fill="FFFFFF"/>
        <w:spacing w:line="240" w:lineRule="auto"/>
        <w:ind w:left="360"/>
        <w:rPr>
          <w:rFonts w:ascii="Helvetica" w:eastAsia="Times New Roman" w:hAnsi="Helvetica"/>
          <w:color w:val="3B3835"/>
          <w:sz w:val="21"/>
          <w:szCs w:val="21"/>
        </w:rPr>
      </w:pPr>
      <w:hyperlink r:id="rId21" w:tgtFrame="_blank" w:tooltip="What is the (statistical) power&#10;of an experiment?&#10;• Usually..." w:history="1">
        <w:r>
          <w:rPr>
            <w:rStyle w:val="a3"/>
            <w:rFonts w:ascii="Helvetica" w:eastAsia="Times New Roman" w:hAnsi="Helvetica"/>
            <w:color w:val="008ED2"/>
            <w:sz w:val="21"/>
            <w:szCs w:val="21"/>
          </w:rPr>
          <w:t>15. </w:t>
        </w:r>
      </w:hyperlink>
      <w:r>
        <w:rPr>
          <w:rFonts w:ascii="Helvetica" w:eastAsia="Times New Roman" w:hAnsi="Helvetica"/>
          <w:color w:val="3B3835"/>
          <w:sz w:val="21"/>
          <w:szCs w:val="21"/>
        </w:rPr>
        <w:t xml:space="preserve">What is the (statistical) power of an experiment? • Usually in biology we set up a null hypothesis of equality and try to disprove it </w:t>
      </w:r>
      <w:proofErr w:type="gramStart"/>
      <w:r>
        <w:rPr>
          <w:rFonts w:ascii="Helvetica" w:eastAsia="Times New Roman" w:hAnsi="Helvetica"/>
          <w:color w:val="3B3835"/>
          <w:sz w:val="21"/>
          <w:szCs w:val="21"/>
        </w:rPr>
        <w:t>in order to</w:t>
      </w:r>
      <w:proofErr w:type="gramEnd"/>
      <w:r>
        <w:rPr>
          <w:rFonts w:ascii="Helvetica" w:eastAsia="Times New Roman" w:hAnsi="Helvetica"/>
          <w:color w:val="3B3835"/>
          <w:sz w:val="21"/>
          <w:szCs w:val="21"/>
        </w:rPr>
        <w:t xml:space="preserve"> demonstrate an effect. • Power is the probability that the experiment will detect an effect (</w:t>
      </w:r>
      <w:proofErr w:type="gramStart"/>
      <w:r>
        <w:rPr>
          <w:rFonts w:ascii="Helvetica" w:eastAsia="Times New Roman" w:hAnsi="Helvetica"/>
          <w:color w:val="3B3835"/>
          <w:sz w:val="21"/>
          <w:szCs w:val="21"/>
        </w:rPr>
        <w:t>i.e.</w:t>
      </w:r>
      <w:proofErr w:type="gramEnd"/>
      <w:r>
        <w:rPr>
          <w:rFonts w:ascii="Helvetica" w:eastAsia="Times New Roman" w:hAnsi="Helvetica"/>
          <w:color w:val="3B3835"/>
          <w:sz w:val="21"/>
          <w:szCs w:val="21"/>
        </w:rPr>
        <w:t xml:space="preserve"> that the null hypothesis will be rejected) if the effect exists • Power depends on replication, baseline variability, size of effect sought (Note this is not easy to set and may be difficult to estimate) • Power is inverse of (i.e. it is 1 - ) chance of finding a false negative</w:t>
      </w:r>
    </w:p>
    <w:p w14:paraId="7EB34AA7" w14:textId="77777777" w:rsidR="00600B25" w:rsidRDefault="00600B25" w:rsidP="00A4416B">
      <w:pPr>
        <w:shd w:val="clear" w:color="auto" w:fill="FFFFFF"/>
        <w:spacing w:line="240" w:lineRule="auto"/>
        <w:ind w:left="360"/>
        <w:rPr>
          <w:rFonts w:ascii="Helvetica" w:eastAsia="Times New Roman" w:hAnsi="Helvetica"/>
          <w:color w:val="3B3835"/>
          <w:sz w:val="21"/>
          <w:szCs w:val="21"/>
        </w:rPr>
      </w:pPr>
      <w:hyperlink r:id="rId22" w:tgtFrame="_blank" w:tooltip="Size of test &amp; false &amp; positives&#10;• The size of the test of ..." w:history="1">
        <w:r>
          <w:rPr>
            <w:rStyle w:val="a3"/>
            <w:rFonts w:ascii="Helvetica" w:eastAsia="Times New Roman" w:hAnsi="Helvetica"/>
            <w:color w:val="008ED2"/>
            <w:sz w:val="21"/>
            <w:szCs w:val="21"/>
          </w:rPr>
          <w:t>16. </w:t>
        </w:r>
      </w:hyperlink>
      <w:r>
        <w:rPr>
          <w:rFonts w:ascii="Helvetica" w:eastAsia="Times New Roman" w:hAnsi="Helvetica"/>
          <w:color w:val="3B3835"/>
          <w:sz w:val="21"/>
          <w:szCs w:val="21"/>
        </w:rPr>
        <w:t xml:space="preserve">Size of test &amp; false &amp; positives • The size of the test of a null hypothesis is the level set as the chance of declaring an effect exists when it is actually absent – </w:t>
      </w:r>
      <w:proofErr w:type="gramStart"/>
      <w:r>
        <w:rPr>
          <w:rFonts w:ascii="Helvetica" w:eastAsia="Times New Roman" w:hAnsi="Helvetica"/>
          <w:color w:val="3B3835"/>
          <w:sz w:val="21"/>
          <w:szCs w:val="21"/>
        </w:rPr>
        <w:t>i.e.</w:t>
      </w:r>
      <w:proofErr w:type="gramEnd"/>
      <w:r>
        <w:rPr>
          <w:rFonts w:ascii="Helvetica" w:eastAsia="Times New Roman" w:hAnsi="Helvetica"/>
          <w:color w:val="3B3835"/>
          <w:sz w:val="21"/>
          <w:szCs w:val="21"/>
        </w:rPr>
        <w:t xml:space="preserve"> the probability of rejecting the null hypothesis when it is actually true • This is usually set at 5% • This is actually the probability of finding a false positive (Note this is easy to set!)</w:t>
      </w:r>
    </w:p>
    <w:p w14:paraId="3F43E68C" w14:textId="77777777" w:rsidR="00600B25" w:rsidRDefault="00600B25" w:rsidP="00A4416B">
      <w:pPr>
        <w:shd w:val="clear" w:color="auto" w:fill="FFFFFF"/>
        <w:spacing w:line="240" w:lineRule="auto"/>
        <w:ind w:left="360"/>
        <w:rPr>
          <w:rFonts w:ascii="Helvetica" w:eastAsia="Times New Roman" w:hAnsi="Helvetica"/>
          <w:color w:val="3B3835"/>
          <w:sz w:val="21"/>
          <w:szCs w:val="21"/>
        </w:rPr>
      </w:pPr>
      <w:hyperlink r:id="rId23" w:tgtFrame="_blank" w:tooltip="Implications for risk assessment&#10;• In biology we try to dem..." w:history="1">
        <w:r>
          <w:rPr>
            <w:rStyle w:val="a3"/>
            <w:rFonts w:ascii="Helvetica" w:eastAsia="Times New Roman" w:hAnsi="Helvetica"/>
            <w:color w:val="008ED2"/>
            <w:sz w:val="21"/>
            <w:szCs w:val="21"/>
          </w:rPr>
          <w:t>17. </w:t>
        </w:r>
      </w:hyperlink>
      <w:r>
        <w:rPr>
          <w:rFonts w:ascii="Helvetica" w:eastAsia="Times New Roman" w:hAnsi="Helvetica"/>
          <w:color w:val="3B3835"/>
          <w:sz w:val="21"/>
          <w:szCs w:val="21"/>
        </w:rPr>
        <w:t>Implications for risk assessment • In biology we try to demonstrate effects exist using a null hypothesis of equality • In risk assessment for GMOs (and pharmaceuticals) companies try to demonstrate a lack of adverse effects • Hence society needs to be assured that power of experiments done is sufficient to find effect if it exists. • The Popperian paradigm and its mathematical representation leads to an ethical problem</w:t>
      </w:r>
    </w:p>
    <w:p w14:paraId="2AF068B2" w14:textId="77777777" w:rsidR="00600B25" w:rsidRDefault="00600B25" w:rsidP="00A4416B">
      <w:pPr>
        <w:shd w:val="clear" w:color="auto" w:fill="FFFFFF"/>
        <w:spacing w:line="240" w:lineRule="auto"/>
        <w:ind w:left="360"/>
        <w:rPr>
          <w:rFonts w:ascii="Helvetica" w:eastAsia="Times New Roman" w:hAnsi="Helvetica"/>
          <w:color w:val="3B3835"/>
          <w:sz w:val="21"/>
          <w:szCs w:val="21"/>
        </w:rPr>
      </w:pPr>
      <w:hyperlink r:id="rId24" w:tgtFrame="_blank" w:tooltip="The two tests: null hypotheses&#10;Test of&#10;Difference&#10;Verdict&#10;N..." w:history="1">
        <w:r>
          <w:rPr>
            <w:rStyle w:val="a3"/>
            <w:rFonts w:ascii="Helvetica" w:eastAsia="Times New Roman" w:hAnsi="Helvetica"/>
            <w:color w:val="008ED2"/>
            <w:sz w:val="21"/>
            <w:szCs w:val="21"/>
          </w:rPr>
          <w:t>18. </w:t>
        </w:r>
      </w:hyperlink>
      <w:r>
        <w:rPr>
          <w:rFonts w:ascii="Helvetica" w:eastAsia="Times New Roman" w:hAnsi="Helvetica"/>
          <w:color w:val="3B3835"/>
          <w:sz w:val="21"/>
          <w:szCs w:val="21"/>
        </w:rPr>
        <w:t xml:space="preserve">The two tests: null hypotheses Test of Difference Verdict Not different </w:t>
      </w:r>
      <w:proofErr w:type="spellStart"/>
      <w:r>
        <w:rPr>
          <w:rFonts w:ascii="Helvetica" w:eastAsia="Times New Roman" w:hAnsi="Helvetica"/>
          <w:color w:val="3B3835"/>
          <w:sz w:val="21"/>
          <w:szCs w:val="21"/>
        </w:rPr>
        <w:t>Different</w:t>
      </w:r>
      <w:proofErr w:type="spellEnd"/>
      <w:r>
        <w:rPr>
          <w:rFonts w:ascii="Helvetica" w:eastAsia="Times New Roman" w:hAnsi="Helvetica"/>
          <w:color w:val="3B3835"/>
          <w:sz w:val="21"/>
          <w:szCs w:val="21"/>
        </w:rPr>
        <w:t xml:space="preserve"> Truth H0: Mean of GM and comparator the same OK Type I error; ‘false positive’; Potential risk for Producer H1: Mean of GM and comparator NOT the same Type II error; ‘false negative’; Potential risk for Consumer OK Test of Equivalence Verdict Not Equivalent </w:t>
      </w:r>
      <w:proofErr w:type="spellStart"/>
      <w:r>
        <w:rPr>
          <w:rFonts w:ascii="Helvetica" w:eastAsia="Times New Roman" w:hAnsi="Helvetica"/>
          <w:color w:val="3B3835"/>
          <w:sz w:val="21"/>
          <w:szCs w:val="21"/>
        </w:rPr>
        <w:t>Equivalent</w:t>
      </w:r>
      <w:proofErr w:type="spellEnd"/>
      <w:r>
        <w:rPr>
          <w:rFonts w:ascii="Helvetica" w:eastAsia="Times New Roman" w:hAnsi="Helvetica"/>
          <w:color w:val="3B3835"/>
          <w:sz w:val="21"/>
          <w:szCs w:val="21"/>
        </w:rPr>
        <w:t xml:space="preserve"> Truth H0: non- equivalent (GM mean outside lower or upper equiv. limit) OK Type I error; ‘false positive’; Potential risk for Consumer H1: equivalent (GM mean strictly within equiv. limits) Type II error; ‘false positive’; Potential risk for Producer OK</w:t>
      </w:r>
    </w:p>
    <w:p w14:paraId="63ED345A" w14:textId="77777777" w:rsidR="00600B25" w:rsidRDefault="00600B25" w:rsidP="00A4416B">
      <w:pPr>
        <w:shd w:val="clear" w:color="auto" w:fill="FFFFFF"/>
        <w:spacing w:line="240" w:lineRule="auto"/>
        <w:ind w:left="360"/>
        <w:rPr>
          <w:rFonts w:ascii="Helvetica" w:eastAsia="Times New Roman" w:hAnsi="Helvetica"/>
          <w:color w:val="3B3835"/>
          <w:sz w:val="21"/>
          <w:szCs w:val="21"/>
        </w:rPr>
      </w:pPr>
      <w:hyperlink r:id="rId25" w:tgtFrame="_blank" w:tooltip="The paper of Seralini et al. (2012)&#10; " w:history="1">
        <w:r>
          <w:rPr>
            <w:rStyle w:val="a3"/>
            <w:rFonts w:ascii="Helvetica" w:eastAsia="Times New Roman" w:hAnsi="Helvetica"/>
            <w:color w:val="008ED2"/>
            <w:sz w:val="21"/>
            <w:szCs w:val="21"/>
          </w:rPr>
          <w:t>19. </w:t>
        </w:r>
      </w:hyperlink>
      <w:r>
        <w:rPr>
          <w:rFonts w:ascii="Helvetica" w:eastAsia="Times New Roman" w:hAnsi="Helvetica"/>
          <w:color w:val="3B3835"/>
          <w:sz w:val="21"/>
          <w:szCs w:val="21"/>
        </w:rPr>
        <w:t xml:space="preserve">The paper of </w:t>
      </w:r>
      <w:proofErr w:type="spellStart"/>
      <w:r>
        <w:rPr>
          <w:rFonts w:ascii="Helvetica" w:eastAsia="Times New Roman" w:hAnsi="Helvetica"/>
          <w:color w:val="3B3835"/>
          <w:sz w:val="21"/>
          <w:szCs w:val="21"/>
        </w:rPr>
        <w:t>Seralini</w:t>
      </w:r>
      <w:proofErr w:type="spellEnd"/>
      <w:r>
        <w:rPr>
          <w:rFonts w:ascii="Helvetica" w:eastAsia="Times New Roman" w:hAnsi="Helvetica"/>
          <w:color w:val="3B3835"/>
          <w:sz w:val="21"/>
          <w:szCs w:val="21"/>
        </w:rPr>
        <w:t xml:space="preserve"> et al. (2012)</w:t>
      </w:r>
    </w:p>
    <w:p w14:paraId="1DFE49AC" w14:textId="77777777" w:rsidR="00600B25" w:rsidRDefault="00600B25" w:rsidP="00A4416B">
      <w:pPr>
        <w:shd w:val="clear" w:color="auto" w:fill="FFFFFF"/>
        <w:spacing w:line="240" w:lineRule="auto"/>
        <w:ind w:left="360"/>
        <w:rPr>
          <w:rFonts w:ascii="Helvetica" w:eastAsia="Times New Roman" w:hAnsi="Helvetica"/>
          <w:color w:val="3B3835"/>
          <w:sz w:val="21"/>
          <w:szCs w:val="21"/>
        </w:rPr>
      </w:pPr>
      <w:hyperlink r:id="rId26" w:tgtFrame="_blank" w:tooltip="Issues raised by NGOs&#10;• Conflicts of interest, because EFSA..." w:history="1">
        <w:r>
          <w:rPr>
            <w:rStyle w:val="a3"/>
            <w:rFonts w:ascii="Helvetica" w:eastAsia="Times New Roman" w:hAnsi="Helvetica"/>
            <w:color w:val="008ED2"/>
            <w:sz w:val="21"/>
            <w:szCs w:val="21"/>
          </w:rPr>
          <w:t>20. </w:t>
        </w:r>
      </w:hyperlink>
      <w:r>
        <w:rPr>
          <w:rFonts w:ascii="Helvetica" w:eastAsia="Times New Roman" w:hAnsi="Helvetica"/>
          <w:color w:val="3B3835"/>
          <w:sz w:val="21"/>
          <w:szCs w:val="21"/>
        </w:rPr>
        <w:t xml:space="preserve">Issues raised by NGOs • Conflicts of interest, because EFSA was reviewing an article that attacked its previous risk assessments • The work of </w:t>
      </w:r>
      <w:proofErr w:type="spellStart"/>
      <w:r>
        <w:rPr>
          <w:rFonts w:ascii="Helvetica" w:eastAsia="Times New Roman" w:hAnsi="Helvetica"/>
          <w:color w:val="3B3835"/>
          <w:sz w:val="21"/>
          <w:szCs w:val="21"/>
        </w:rPr>
        <w:t>Seralini</w:t>
      </w:r>
      <w:proofErr w:type="spellEnd"/>
      <w:r>
        <w:rPr>
          <w:rFonts w:ascii="Helvetica" w:eastAsia="Times New Roman" w:hAnsi="Helvetica"/>
          <w:color w:val="3B3835"/>
          <w:sz w:val="21"/>
          <w:szCs w:val="21"/>
        </w:rPr>
        <w:t xml:space="preserve"> was expected to adhere to far greater standards than those applied by EFSA to applications from industry under which NK603 was assessed in the first place.</w:t>
      </w:r>
    </w:p>
    <w:p w14:paraId="3F5D1151" w14:textId="77777777" w:rsidR="00600B25" w:rsidRDefault="00600B25" w:rsidP="00A4416B">
      <w:pPr>
        <w:shd w:val="clear" w:color="auto" w:fill="FFFFFF"/>
        <w:spacing w:line="240" w:lineRule="auto"/>
        <w:ind w:left="360"/>
        <w:rPr>
          <w:rFonts w:ascii="Helvetica" w:eastAsia="Times New Roman" w:hAnsi="Helvetica"/>
          <w:color w:val="3B3835"/>
          <w:sz w:val="21"/>
          <w:szCs w:val="21"/>
        </w:rPr>
      </w:pPr>
      <w:hyperlink r:id="rId27" w:tgtFrame="_blank" w:history="1">
        <w:r>
          <w:rPr>
            <w:rStyle w:val="a3"/>
            <w:rFonts w:ascii="Helvetica" w:eastAsia="Times New Roman" w:hAnsi="Helvetica"/>
            <w:color w:val="008ED2"/>
            <w:sz w:val="21"/>
            <w:szCs w:val="21"/>
          </w:rPr>
          <w:t>21. </w:t>
        </w:r>
      </w:hyperlink>
      <w:r>
        <w:rPr>
          <w:rFonts w:ascii="Helvetica" w:eastAsia="Times New Roman" w:hAnsi="Helvetica"/>
          <w:color w:val="3B3835"/>
          <w:sz w:val="21"/>
          <w:szCs w:val="21"/>
        </w:rPr>
        <w:t xml:space="preserve">“Why should applicants, seeking to obtain authorization for food to be given to our children, not make </w:t>
      </w:r>
      <w:proofErr w:type="spellStart"/>
      <w:r>
        <w:rPr>
          <w:rFonts w:ascii="Helvetica" w:eastAsia="Times New Roman" w:hAnsi="Helvetica"/>
          <w:color w:val="3B3835"/>
          <w:sz w:val="21"/>
          <w:szCs w:val="21"/>
        </w:rPr>
        <w:t>publically</w:t>
      </w:r>
      <w:proofErr w:type="spellEnd"/>
      <w:r>
        <w:rPr>
          <w:rFonts w:ascii="Helvetica" w:eastAsia="Times New Roman" w:hAnsi="Helvetica"/>
          <w:color w:val="3B3835"/>
          <w:sz w:val="21"/>
          <w:szCs w:val="21"/>
        </w:rPr>
        <w:t xml:space="preserve"> available all the data on which that authorization depends?” Per Bergman, Director REPRO, EFSA, January 2013</w:t>
      </w:r>
    </w:p>
    <w:p w14:paraId="706E355A" w14:textId="77777777" w:rsidR="00600B25" w:rsidRDefault="00600B25" w:rsidP="00A4416B">
      <w:pPr>
        <w:shd w:val="clear" w:color="auto" w:fill="FFFFFF"/>
        <w:spacing w:line="240" w:lineRule="auto"/>
        <w:ind w:left="360"/>
        <w:rPr>
          <w:rFonts w:ascii="Helvetica" w:eastAsia="Times New Roman" w:hAnsi="Helvetica"/>
          <w:color w:val="3B3835"/>
          <w:sz w:val="21"/>
          <w:szCs w:val="21"/>
        </w:rPr>
      </w:pPr>
      <w:hyperlink r:id="rId28" w:tgtFrame="_blank" w:tooltip="Summary of PLOS Biol paper&#10;• Confidential business informat..." w:history="1">
        <w:r>
          <w:rPr>
            <w:rStyle w:val="a3"/>
            <w:rFonts w:ascii="Helvetica" w:eastAsia="Times New Roman" w:hAnsi="Helvetica"/>
            <w:color w:val="008ED2"/>
            <w:sz w:val="21"/>
            <w:szCs w:val="21"/>
          </w:rPr>
          <w:t>22. </w:t>
        </w:r>
      </w:hyperlink>
      <w:r>
        <w:rPr>
          <w:rFonts w:ascii="Helvetica" w:eastAsia="Times New Roman" w:hAnsi="Helvetica"/>
          <w:color w:val="3B3835"/>
          <w:sz w:val="21"/>
          <w:szCs w:val="21"/>
        </w:rPr>
        <w:t>Summary of PLOS Biol paper • Confidential business information (CBI) is a necessary tool to protect commercial interests in biotechnology • CBI is often claimed for documentation and materials supporting the biosafety assessments of GMOs. • But, such claims often do not really protect commercial interests • And they unnecessarily limit transparency and public peer review of data submitted to regulatory authorities • This can also preclude the development of independent research and monitoring strategies • CBI claims are counterproductive to the safe and responsible commercial development of GM technology as they hinder the accumulation of biosafety data in the open, peer-reviewed literature, needed to build public confidence and scientific consensus-building on safety issues • conflicts of interest are inevitable in market-oriented safety-data production • Transparency and open access to safety-related data and assessments is required for interpretation and risk communication</w:t>
      </w:r>
    </w:p>
    <w:p w14:paraId="4F01B13C" w14:textId="77777777" w:rsidR="00600B25" w:rsidRDefault="00600B25" w:rsidP="00A4416B">
      <w:pPr>
        <w:shd w:val="clear" w:color="auto" w:fill="FFFFFF"/>
        <w:spacing w:line="240" w:lineRule="auto"/>
        <w:ind w:left="360"/>
        <w:rPr>
          <w:rFonts w:ascii="Helvetica" w:eastAsia="Times New Roman" w:hAnsi="Helvetica"/>
          <w:color w:val="3B3835"/>
          <w:sz w:val="21"/>
          <w:szCs w:val="21"/>
        </w:rPr>
      </w:pPr>
      <w:hyperlink r:id="rId29" w:tgtFrame="_blank" w:tooltip="Figure 1. CBI-protected and other unpublished biosafety stu..." w:history="1">
        <w:r>
          <w:rPr>
            <w:rStyle w:val="a3"/>
            <w:rFonts w:ascii="Helvetica" w:eastAsia="Times New Roman" w:hAnsi="Helvetica"/>
            <w:color w:val="008ED2"/>
            <w:sz w:val="21"/>
            <w:szCs w:val="21"/>
          </w:rPr>
          <w:t>23. </w:t>
        </w:r>
      </w:hyperlink>
      <w:r>
        <w:rPr>
          <w:rFonts w:ascii="Helvetica" w:eastAsia="Times New Roman" w:hAnsi="Helvetica"/>
          <w:color w:val="3B3835"/>
          <w:sz w:val="21"/>
          <w:szCs w:val="21"/>
        </w:rPr>
        <w:t xml:space="preserve">Figure 1. CBI-protected and other unpublished biosafety studies fail to adhere to the iterative process of knowledge production as they are not available for verification (resist falsification, reproducibility) and reevaluation by the open scientific community </w:t>
      </w:r>
      <w:proofErr w:type="gramStart"/>
      <w:r>
        <w:rPr>
          <w:rFonts w:ascii="Helvetica" w:eastAsia="Times New Roman" w:hAnsi="Helvetica"/>
          <w:color w:val="3B3835"/>
          <w:sz w:val="21"/>
          <w:szCs w:val="21"/>
        </w:rPr>
        <w:t>in light of</w:t>
      </w:r>
      <w:proofErr w:type="gramEnd"/>
      <w:r>
        <w:rPr>
          <w:rFonts w:ascii="Helvetica" w:eastAsia="Times New Roman" w:hAnsi="Helvetica"/>
          <w:color w:val="3B3835"/>
          <w:sz w:val="21"/>
          <w:szCs w:val="21"/>
        </w:rPr>
        <w:t xml:space="preserve"> new knowledge. Nielsen KM (2013) Biosafety Data as Confidential Business Information. </w:t>
      </w:r>
      <w:proofErr w:type="spellStart"/>
      <w:r>
        <w:rPr>
          <w:rFonts w:ascii="Helvetica" w:eastAsia="Times New Roman" w:hAnsi="Helvetica"/>
          <w:color w:val="3B3835"/>
          <w:sz w:val="21"/>
          <w:szCs w:val="21"/>
        </w:rPr>
        <w:t>PLoS</w:t>
      </w:r>
      <w:proofErr w:type="spellEnd"/>
      <w:r>
        <w:rPr>
          <w:rFonts w:ascii="Helvetica" w:eastAsia="Times New Roman" w:hAnsi="Helvetica"/>
          <w:color w:val="3B3835"/>
          <w:sz w:val="21"/>
          <w:szCs w:val="21"/>
        </w:rPr>
        <w:t xml:space="preserve"> Biol 11(3): e1001499. doi:10.1371/journal.pbio.1001499 http://www.plosbiology.org/article/info:doi/10.1371/journal.pbio.1001499</w:t>
      </w:r>
    </w:p>
    <w:p w14:paraId="0EF9283C" w14:textId="77777777" w:rsidR="00600B25" w:rsidRDefault="00600B25" w:rsidP="00A4416B">
      <w:pPr>
        <w:shd w:val="clear" w:color="auto" w:fill="FFFFFF"/>
        <w:spacing w:line="240" w:lineRule="auto"/>
        <w:ind w:left="360"/>
        <w:rPr>
          <w:rFonts w:ascii="Helvetica" w:eastAsia="Times New Roman" w:hAnsi="Helvetica"/>
          <w:color w:val="3B3835"/>
          <w:sz w:val="21"/>
          <w:szCs w:val="21"/>
        </w:rPr>
      </w:pPr>
      <w:hyperlink r:id="rId30" w:tgtFrame="_blank" w:tooltip="The two Youtube videos from well-recognized researchers bel..." w:history="1">
        <w:r>
          <w:rPr>
            <w:rStyle w:val="a3"/>
            <w:rFonts w:ascii="Helvetica" w:eastAsia="Times New Roman" w:hAnsi="Helvetica"/>
            <w:color w:val="008ED2"/>
            <w:sz w:val="21"/>
            <w:szCs w:val="21"/>
          </w:rPr>
          <w:t>24. </w:t>
        </w:r>
      </w:hyperlink>
      <w:r>
        <w:rPr>
          <w:rFonts w:ascii="Helvetica" w:eastAsia="Times New Roman" w:hAnsi="Helvetica"/>
          <w:color w:val="3B3835"/>
          <w:sz w:val="21"/>
          <w:szCs w:val="21"/>
        </w:rPr>
        <w:t xml:space="preserve">The two </w:t>
      </w:r>
      <w:proofErr w:type="spellStart"/>
      <w:r>
        <w:rPr>
          <w:rFonts w:ascii="Helvetica" w:eastAsia="Times New Roman" w:hAnsi="Helvetica"/>
          <w:color w:val="3B3835"/>
          <w:sz w:val="21"/>
          <w:szCs w:val="21"/>
        </w:rPr>
        <w:t>Youtube</w:t>
      </w:r>
      <w:proofErr w:type="spellEnd"/>
      <w:r>
        <w:rPr>
          <w:rFonts w:ascii="Helvetica" w:eastAsia="Times New Roman" w:hAnsi="Helvetica"/>
          <w:color w:val="3B3835"/>
          <w:sz w:val="21"/>
          <w:szCs w:val="21"/>
        </w:rPr>
        <w:t xml:space="preserve"> videos from well-recognized researchers below are also quite informative on this subject http://www.youtube.com/watch?v=3XEDzhjW9fU (Peter </w:t>
      </w:r>
      <w:proofErr w:type="spellStart"/>
      <w:r>
        <w:rPr>
          <w:rFonts w:ascii="Helvetica" w:eastAsia="Times New Roman" w:hAnsi="Helvetica"/>
          <w:color w:val="3B3835"/>
          <w:sz w:val="21"/>
          <w:szCs w:val="21"/>
        </w:rPr>
        <w:t>Gøtzche</w:t>
      </w:r>
      <w:proofErr w:type="spellEnd"/>
      <w:r>
        <w:rPr>
          <w:rFonts w:ascii="Helvetica" w:eastAsia="Times New Roman" w:hAnsi="Helvetica"/>
          <w:color w:val="3B3835"/>
          <w:sz w:val="21"/>
          <w:szCs w:val="21"/>
        </w:rPr>
        <w:t xml:space="preserve"> – ) http://www.youtube.com/watch?v=pTrqsif0KWM (Tom Jefferson – Tamiflu)</w:t>
      </w:r>
    </w:p>
    <w:p w14:paraId="07894CAF" w14:textId="77777777" w:rsidR="00600B25" w:rsidRDefault="00600B25" w:rsidP="00A4416B">
      <w:pPr>
        <w:shd w:val="clear" w:color="auto" w:fill="FFFFFF"/>
        <w:spacing w:line="240" w:lineRule="auto"/>
        <w:ind w:left="360"/>
        <w:rPr>
          <w:rFonts w:ascii="Helvetica" w:eastAsia="Times New Roman" w:hAnsi="Helvetica"/>
          <w:color w:val="3B3835"/>
          <w:sz w:val="21"/>
          <w:szCs w:val="21"/>
        </w:rPr>
      </w:pPr>
      <w:hyperlink r:id="rId31" w:tgtFrame="_blank" w:tooltip="two halves – one GM maize, one conventional maize&#10;can you t..." w:history="1">
        <w:r>
          <w:rPr>
            <w:rStyle w:val="a3"/>
            <w:rFonts w:ascii="Helvetica" w:eastAsia="Times New Roman" w:hAnsi="Helvetica"/>
            <w:color w:val="008ED2"/>
            <w:sz w:val="21"/>
            <w:szCs w:val="21"/>
          </w:rPr>
          <w:t>25. </w:t>
        </w:r>
      </w:hyperlink>
      <w:r>
        <w:rPr>
          <w:rFonts w:ascii="Helvetica" w:eastAsia="Times New Roman" w:hAnsi="Helvetica"/>
          <w:color w:val="3B3835"/>
          <w:sz w:val="21"/>
          <w:szCs w:val="21"/>
        </w:rPr>
        <w:t>two halves – one GM maize, one conventional maize can you tell the difference? Why do we have such a visceral mistrust of taking a gene from one species and placing it in another?</w:t>
      </w:r>
    </w:p>
    <w:p w14:paraId="394F829B" w14:textId="77777777" w:rsidR="00600B25" w:rsidRDefault="00600B25" w:rsidP="00A4416B">
      <w:pPr>
        <w:shd w:val="clear" w:color="auto" w:fill="FFFFFF"/>
        <w:spacing w:line="240" w:lineRule="auto"/>
        <w:ind w:left="360"/>
        <w:rPr>
          <w:rFonts w:ascii="Helvetica" w:eastAsia="Times New Roman" w:hAnsi="Helvetica"/>
          <w:color w:val="3B3835"/>
          <w:sz w:val="21"/>
          <w:szCs w:val="21"/>
        </w:rPr>
      </w:pPr>
      <w:hyperlink r:id="rId32" w:tgtFrame="_blank" w:tooltip="Plato, Aristotle:&#10;Species as an&#10;unchangeable&#10;'type’, with&#10;e..." w:history="1">
        <w:r>
          <w:rPr>
            <w:rStyle w:val="a3"/>
            <w:rFonts w:ascii="Helvetica" w:eastAsia="Times New Roman" w:hAnsi="Helvetica"/>
            <w:color w:val="008ED2"/>
            <w:sz w:val="21"/>
            <w:szCs w:val="21"/>
          </w:rPr>
          <w:t>26. </w:t>
        </w:r>
      </w:hyperlink>
      <w:r>
        <w:rPr>
          <w:rFonts w:ascii="Helvetica" w:eastAsia="Times New Roman" w:hAnsi="Helvetica"/>
          <w:color w:val="3B3835"/>
          <w:sz w:val="21"/>
          <w:szCs w:val="21"/>
        </w:rPr>
        <w:t xml:space="preserve">Plato, Aristotle: Species as an unchangeable 'type’, with eternal, ideal form Darwin: Uniqueness of Individual; Species is a statistical abstraction Davies, K. (2000) What links Aristotle, William Blake, </w:t>
      </w:r>
      <w:proofErr w:type="gramStart"/>
      <w:r>
        <w:rPr>
          <w:rFonts w:ascii="Helvetica" w:eastAsia="Times New Roman" w:hAnsi="Helvetica"/>
          <w:color w:val="3B3835"/>
          <w:sz w:val="21"/>
          <w:szCs w:val="21"/>
        </w:rPr>
        <w:t>Darwin</w:t>
      </w:r>
      <w:proofErr w:type="gramEnd"/>
      <w:r>
        <w:rPr>
          <w:rFonts w:ascii="Helvetica" w:eastAsia="Times New Roman" w:hAnsi="Helvetica"/>
          <w:color w:val="3B3835"/>
          <w:sz w:val="21"/>
          <w:szCs w:val="21"/>
        </w:rPr>
        <w:t xml:space="preserve"> and GM crops? Nature 407, 135. Davies, K. (2001) What makes genetically modified organisms so abhorrent? Trends in Biotechnology 19, 424-427.</w:t>
      </w:r>
    </w:p>
    <w:p w14:paraId="3A525484" w14:textId="77777777" w:rsidR="00600B25" w:rsidRDefault="00600B25" w:rsidP="00A4416B">
      <w:pPr>
        <w:shd w:val="clear" w:color="auto" w:fill="FFFFFF"/>
        <w:spacing w:line="240" w:lineRule="auto"/>
        <w:ind w:left="360"/>
        <w:rPr>
          <w:rFonts w:ascii="Helvetica" w:eastAsia="Times New Roman" w:hAnsi="Helvetica"/>
          <w:color w:val="3B3835"/>
          <w:sz w:val="21"/>
          <w:szCs w:val="21"/>
        </w:rPr>
      </w:pPr>
      <w:hyperlink r:id="rId33" w:tgtFrame="_blank" w:tooltip="how many genes do we share&#10;in common?&#10;7% 15% 21% 36% 85% 98..." w:history="1">
        <w:r>
          <w:rPr>
            <w:rStyle w:val="a3"/>
            <w:rFonts w:ascii="Helvetica" w:eastAsia="Times New Roman" w:hAnsi="Helvetica"/>
            <w:color w:val="008ED2"/>
            <w:sz w:val="21"/>
            <w:szCs w:val="21"/>
          </w:rPr>
          <w:t>27. </w:t>
        </w:r>
      </w:hyperlink>
      <w:r>
        <w:rPr>
          <w:rFonts w:ascii="Helvetica" w:eastAsia="Times New Roman" w:hAnsi="Helvetica"/>
          <w:color w:val="3B3835"/>
          <w:sz w:val="21"/>
          <w:szCs w:val="21"/>
        </w:rPr>
        <w:t xml:space="preserve">how many genes do we </w:t>
      </w:r>
      <w:proofErr w:type="gramStart"/>
      <w:r>
        <w:rPr>
          <w:rFonts w:ascii="Helvetica" w:eastAsia="Times New Roman" w:hAnsi="Helvetica"/>
          <w:color w:val="3B3835"/>
          <w:sz w:val="21"/>
          <w:szCs w:val="21"/>
        </w:rPr>
        <w:t>share in common</w:t>
      </w:r>
      <w:proofErr w:type="gramEnd"/>
      <w:r>
        <w:rPr>
          <w:rFonts w:ascii="Helvetica" w:eastAsia="Times New Roman" w:hAnsi="Helvetica"/>
          <w:color w:val="3B3835"/>
          <w:sz w:val="21"/>
          <w:szCs w:val="21"/>
        </w:rPr>
        <w:t>? 7% 15% 21% 36% 85% 98% &gt;99% 60%</w:t>
      </w:r>
    </w:p>
    <w:p w14:paraId="70E99B78" w14:textId="03812E7D" w:rsidR="00600B25" w:rsidRPr="00A4416B" w:rsidRDefault="00600B25" w:rsidP="00A4416B">
      <w:pPr>
        <w:ind w:left="360"/>
        <w:rPr>
          <w:b/>
          <w:bCs/>
        </w:rPr>
      </w:pPr>
      <w:hyperlink r:id="rId34" w:tgtFrame="_blank" w:tooltip="Future challenges&#10;(1) New technologies – where do they fit ..." w:history="1">
        <w:r w:rsidRPr="00A4416B">
          <w:rPr>
            <w:rStyle w:val="a3"/>
            <w:rFonts w:ascii="Helvetica" w:eastAsia="Times New Roman" w:hAnsi="Helvetica"/>
            <w:color w:val="008ED2"/>
            <w:sz w:val="21"/>
            <w:szCs w:val="21"/>
          </w:rPr>
          <w:t>28. </w:t>
        </w:r>
      </w:hyperlink>
      <w:r w:rsidRPr="00A4416B">
        <w:rPr>
          <w:rFonts w:ascii="Helvetica" w:eastAsia="Times New Roman" w:hAnsi="Helvetica"/>
          <w:color w:val="3B3835"/>
          <w:sz w:val="21"/>
          <w:szCs w:val="21"/>
        </w:rPr>
        <w:t xml:space="preserve">Future challenges (1) New technologies – where do they fit on the scale of risks? • </w:t>
      </w:r>
      <w:proofErr w:type="spellStart"/>
      <w:r w:rsidRPr="00A4416B">
        <w:rPr>
          <w:rFonts w:ascii="Helvetica" w:eastAsia="Times New Roman" w:hAnsi="Helvetica"/>
          <w:color w:val="3B3835"/>
          <w:sz w:val="21"/>
          <w:szCs w:val="21"/>
        </w:rPr>
        <w:t>Cisgenesis</w:t>
      </w:r>
      <w:proofErr w:type="spellEnd"/>
      <w:r w:rsidRPr="00A4416B">
        <w:rPr>
          <w:rFonts w:ascii="Helvetica" w:eastAsia="Times New Roman" w:hAnsi="Helvetica"/>
          <w:color w:val="3B3835"/>
          <w:sz w:val="21"/>
          <w:szCs w:val="21"/>
        </w:rPr>
        <w:t xml:space="preserve"> (comprising </w:t>
      </w:r>
      <w:proofErr w:type="spellStart"/>
      <w:r w:rsidRPr="00A4416B">
        <w:rPr>
          <w:rFonts w:ascii="Helvetica" w:eastAsia="Times New Roman" w:hAnsi="Helvetica"/>
          <w:color w:val="3B3835"/>
          <w:sz w:val="21"/>
          <w:szCs w:val="21"/>
        </w:rPr>
        <w:t>Cisgenesis</w:t>
      </w:r>
      <w:proofErr w:type="spellEnd"/>
      <w:r w:rsidRPr="00A4416B">
        <w:rPr>
          <w:rFonts w:ascii="Helvetica" w:eastAsia="Times New Roman" w:hAnsi="Helvetica"/>
          <w:color w:val="3B3835"/>
          <w:sz w:val="21"/>
          <w:szCs w:val="21"/>
        </w:rPr>
        <w:t xml:space="preserve"> and </w:t>
      </w:r>
      <w:proofErr w:type="spellStart"/>
      <w:r w:rsidRPr="00A4416B">
        <w:rPr>
          <w:rFonts w:ascii="Helvetica" w:eastAsia="Times New Roman" w:hAnsi="Helvetica"/>
          <w:color w:val="3B3835"/>
          <w:sz w:val="21"/>
          <w:szCs w:val="21"/>
        </w:rPr>
        <w:t>Intragenesis</w:t>
      </w:r>
      <w:proofErr w:type="spellEnd"/>
      <w:r w:rsidRPr="00A4416B">
        <w:rPr>
          <w:rFonts w:ascii="Helvetica" w:eastAsia="Times New Roman" w:hAnsi="Helvetica"/>
          <w:color w:val="3B3835"/>
          <w:sz w:val="21"/>
          <w:szCs w:val="21"/>
        </w:rPr>
        <w:t xml:space="preserve">) • </w:t>
      </w:r>
      <w:proofErr w:type="spellStart"/>
      <w:r w:rsidRPr="00A4416B">
        <w:rPr>
          <w:rFonts w:ascii="Helvetica" w:eastAsia="Times New Roman" w:hAnsi="Helvetica"/>
          <w:color w:val="3B3835"/>
          <w:sz w:val="21"/>
          <w:szCs w:val="21"/>
        </w:rPr>
        <w:t>Intragenics</w:t>
      </w:r>
      <w:proofErr w:type="spellEnd"/>
      <w:r w:rsidRPr="00A4416B">
        <w:rPr>
          <w:rFonts w:ascii="Helvetica" w:eastAsia="Times New Roman" w:hAnsi="Helvetica"/>
          <w:color w:val="3B3835"/>
          <w:sz w:val="21"/>
          <w:szCs w:val="21"/>
        </w:rPr>
        <w:t xml:space="preserve"> • Zinc Finger Nuclease Technology (ZFN) (comprising ZFN-1, ZFN-</w:t>
      </w:r>
      <w:proofErr w:type="gramStart"/>
      <w:r w:rsidRPr="00A4416B">
        <w:rPr>
          <w:rFonts w:ascii="Helvetica" w:eastAsia="Times New Roman" w:hAnsi="Helvetica"/>
          <w:color w:val="3B3835"/>
          <w:sz w:val="21"/>
          <w:szCs w:val="21"/>
        </w:rPr>
        <w:t>2</w:t>
      </w:r>
      <w:proofErr w:type="gramEnd"/>
      <w:r w:rsidRPr="00A4416B">
        <w:rPr>
          <w:rFonts w:ascii="Helvetica" w:eastAsia="Times New Roman" w:hAnsi="Helvetica"/>
          <w:color w:val="3B3835"/>
          <w:sz w:val="21"/>
          <w:szCs w:val="21"/>
        </w:rPr>
        <w:t xml:space="preserve"> and ZFN-3 ) • Oligonucleotide Directed</w:t>
      </w:r>
    </w:p>
    <w:sectPr w:rsidR="00600B25" w:rsidRPr="00A4416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C1AFF"/>
    <w:multiLevelType w:val="multilevel"/>
    <w:tmpl w:val="B2285C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11211B5"/>
    <w:multiLevelType w:val="hybridMultilevel"/>
    <w:tmpl w:val="E3EA4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25"/>
    <w:rsid w:val="00600B25"/>
    <w:rsid w:val="007637BF"/>
    <w:rsid w:val="00A44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C808"/>
  <w15:chartTrackingRefBased/>
  <w15:docId w15:val="{6EA34D76-72E8-4074-A1A1-285F202C2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0B25"/>
    <w:rPr>
      <w:color w:val="0000FF"/>
      <w:u w:val="single"/>
    </w:rPr>
  </w:style>
  <w:style w:type="paragraph" w:styleId="a4">
    <w:name w:val="List Paragraph"/>
    <w:basedOn w:val="a"/>
    <w:uiPriority w:val="34"/>
    <w:qFormat/>
    <w:rsid w:val="00A441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89773">
      <w:bodyDiv w:val="1"/>
      <w:marLeft w:val="0"/>
      <w:marRight w:val="0"/>
      <w:marTop w:val="0"/>
      <w:marBottom w:val="0"/>
      <w:divBdr>
        <w:top w:val="none" w:sz="0" w:space="0" w:color="auto"/>
        <w:left w:val="none" w:sz="0" w:space="0" w:color="auto"/>
        <w:bottom w:val="none" w:sz="0" w:space="0" w:color="auto"/>
        <w:right w:val="none" w:sz="0" w:space="0" w:color="auto"/>
      </w:divBdr>
    </w:div>
    <w:div w:id="97402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ge.slidesharecdn.com/joeperry2013-130710090115-phpapp02/95/risks-of-gm-crops-7-638.jpg?cb=1414249224" TargetMode="External"/><Relationship Id="rId18" Type="http://schemas.openxmlformats.org/officeDocument/2006/relationships/hyperlink" Target="https://image.slidesharecdn.com/joeperry2013-130710090115-phpapp02/95/risks-of-gm-crops-12-638.jpg?cb=1414249224" TargetMode="External"/><Relationship Id="rId26" Type="http://schemas.openxmlformats.org/officeDocument/2006/relationships/hyperlink" Target="https://image.slidesharecdn.com/joeperry2013-130710090115-phpapp02/95/risks-of-gm-crops-20-638.jpg?cb=1414249224" TargetMode="External"/><Relationship Id="rId3" Type="http://schemas.openxmlformats.org/officeDocument/2006/relationships/settings" Target="settings.xml"/><Relationship Id="rId21" Type="http://schemas.openxmlformats.org/officeDocument/2006/relationships/hyperlink" Target="https://image.slidesharecdn.com/joeperry2013-130710090115-phpapp02/95/risks-of-gm-crops-15-638.jpg?cb=1414249224" TargetMode="External"/><Relationship Id="rId34" Type="http://schemas.openxmlformats.org/officeDocument/2006/relationships/hyperlink" Target="https://image.slidesharecdn.com/joeperry2013-130710090115-phpapp02/95/risks-of-gm-crops-28-638.jpg?cb=1414249224" TargetMode="External"/><Relationship Id="rId7" Type="http://schemas.openxmlformats.org/officeDocument/2006/relationships/hyperlink" Target="https://image.slidesharecdn.com/joeperry2013-130710090115-phpapp02/95/risks-of-gm-crops-3-638.jpg?cb=1414249224" TargetMode="External"/><Relationship Id="rId12" Type="http://schemas.openxmlformats.org/officeDocument/2006/relationships/image" Target="media/image3.jpeg"/><Relationship Id="rId17" Type="http://schemas.openxmlformats.org/officeDocument/2006/relationships/hyperlink" Target="https://image.slidesharecdn.com/joeperry2013-130710090115-phpapp02/95/risks-of-gm-crops-11-638.jpg?cb=1414249224" TargetMode="External"/><Relationship Id="rId25" Type="http://schemas.openxmlformats.org/officeDocument/2006/relationships/hyperlink" Target="https://image.slidesharecdn.com/joeperry2013-130710090115-phpapp02/95/risks-of-gm-crops-19-638.jpg?cb=1414249224" TargetMode="External"/><Relationship Id="rId33" Type="http://schemas.openxmlformats.org/officeDocument/2006/relationships/hyperlink" Target="https://image.slidesharecdn.com/joeperry2013-130710090115-phpapp02/95/risks-of-gm-crops-27-638.jpg?cb=1414249224" TargetMode="External"/><Relationship Id="rId2" Type="http://schemas.openxmlformats.org/officeDocument/2006/relationships/styles" Target="styles.xml"/><Relationship Id="rId16" Type="http://schemas.openxmlformats.org/officeDocument/2006/relationships/hyperlink" Target="https://image.slidesharecdn.com/joeperry2013-130710090115-phpapp02/95/risks-of-gm-crops-10-638.jpg?cb=1414249224" TargetMode="External"/><Relationship Id="rId20" Type="http://schemas.openxmlformats.org/officeDocument/2006/relationships/hyperlink" Target="https://image.slidesharecdn.com/joeperry2013-130710090115-phpapp02/95/risks-of-gm-crops-14-638.jpg?cb=1414249224" TargetMode="External"/><Relationship Id="rId29" Type="http://schemas.openxmlformats.org/officeDocument/2006/relationships/hyperlink" Target="https://image.slidesharecdn.com/joeperry2013-130710090115-phpapp02/95/risks-of-gm-crops-23-638.jpg?cb=1414249224"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hyperlink" Target="https://image.slidesharecdn.com/joeperry2013-130710090115-phpapp02/95/risks-of-gm-crops-18-638.jpg?cb=1414249224" TargetMode="External"/><Relationship Id="rId32" Type="http://schemas.openxmlformats.org/officeDocument/2006/relationships/hyperlink" Target="https://image.slidesharecdn.com/joeperry2013-130710090115-phpapp02/95/risks-of-gm-crops-26-638.jpg?cb=1414249224" TargetMode="External"/><Relationship Id="rId5" Type="http://schemas.openxmlformats.org/officeDocument/2006/relationships/hyperlink" Target="https://image.slidesharecdn.com/joeperry2013-130710090115-phpapp02/95/risks-of-gm-crops-2-638.jpg?cb=1414249224" TargetMode="External"/><Relationship Id="rId15" Type="http://schemas.openxmlformats.org/officeDocument/2006/relationships/hyperlink" Target="https://image.slidesharecdn.com/joeperry2013-130710090115-phpapp02/95/risks-of-gm-crops-9-638.jpg?cb=1414249224" TargetMode="External"/><Relationship Id="rId23" Type="http://schemas.openxmlformats.org/officeDocument/2006/relationships/hyperlink" Target="https://image.slidesharecdn.com/joeperry2013-130710090115-phpapp02/95/risks-of-gm-crops-17-638.jpg?cb=1414249224" TargetMode="External"/><Relationship Id="rId28" Type="http://schemas.openxmlformats.org/officeDocument/2006/relationships/hyperlink" Target="https://image.slidesharecdn.com/joeperry2013-130710090115-phpapp02/95/risks-of-gm-crops-22-638.jpg?cb=1414249224" TargetMode="External"/><Relationship Id="rId36" Type="http://schemas.openxmlformats.org/officeDocument/2006/relationships/theme" Target="theme/theme1.xml"/><Relationship Id="rId10" Type="http://schemas.openxmlformats.org/officeDocument/2006/relationships/hyperlink" Target="https://image.slidesharecdn.com/joeperry2013-130710090115-phpapp02/95/risks-of-gm-crops-6-638.jpg?cb=1414249224" TargetMode="External"/><Relationship Id="rId19" Type="http://schemas.openxmlformats.org/officeDocument/2006/relationships/hyperlink" Target="https://image.slidesharecdn.com/joeperry2013-130710090115-phpapp02/95/risks-of-gm-crops-13-638.jpg?cb=1414249224" TargetMode="External"/><Relationship Id="rId31" Type="http://schemas.openxmlformats.org/officeDocument/2006/relationships/hyperlink" Target="https://image.slidesharecdn.com/joeperry2013-130710090115-phpapp02/95/risks-of-gm-crops-25-638.jpg?cb=1414249224" TargetMode="External"/><Relationship Id="rId4" Type="http://schemas.openxmlformats.org/officeDocument/2006/relationships/webSettings" Target="webSettings.xml"/><Relationship Id="rId9" Type="http://schemas.openxmlformats.org/officeDocument/2006/relationships/hyperlink" Target="https://image.slidesharecdn.com/joeperry2013-130710090115-phpapp02/95/risks-of-gm-crops-5-638.jpg?cb=1414249224" TargetMode="External"/><Relationship Id="rId14" Type="http://schemas.openxmlformats.org/officeDocument/2006/relationships/hyperlink" Target="https://image.slidesharecdn.com/joeperry2013-130710090115-phpapp02/95/risks-of-gm-crops-8-638.jpg?cb=1414249224" TargetMode="External"/><Relationship Id="rId22" Type="http://schemas.openxmlformats.org/officeDocument/2006/relationships/hyperlink" Target="https://image.slidesharecdn.com/joeperry2013-130710090115-phpapp02/95/risks-of-gm-crops-16-638.jpg?cb=1414249224" TargetMode="External"/><Relationship Id="rId27" Type="http://schemas.openxmlformats.org/officeDocument/2006/relationships/hyperlink" Target="https://image.slidesharecdn.com/joeperry2013-130710090115-phpapp02/95/risks-of-gm-crops-21-638.jpg?cb=1414249224" TargetMode="External"/><Relationship Id="rId30" Type="http://schemas.openxmlformats.org/officeDocument/2006/relationships/hyperlink" Target="https://image.slidesharecdn.com/joeperry2013-130710090115-phpapp02/95/risks-of-gm-crops-24-638.jpg?cb=1414249224" TargetMode="External"/><Relationship Id="rId35" Type="http://schemas.openxmlformats.org/officeDocument/2006/relationships/fontTable" Target="fontTable.xml"/><Relationship Id="rId8" Type="http://schemas.openxmlformats.org/officeDocument/2006/relationships/hyperlink" Target="https://image.slidesharecdn.com/joeperry2013-130710090115-phpapp02/95/risks-of-gm-crops-4-638.jpg?cb=1414249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2147</Words>
  <Characters>12242</Characters>
  <Application>Microsoft Office Word</Application>
  <DocSecurity>0</DocSecurity>
  <Lines>102</Lines>
  <Paragraphs>28</Paragraphs>
  <ScaleCrop>false</ScaleCrop>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 </dc:creator>
  <cp:keywords/>
  <dc:description/>
  <cp:lastModifiedBy>KS </cp:lastModifiedBy>
  <cp:revision>2</cp:revision>
  <dcterms:created xsi:type="dcterms:W3CDTF">2021-09-19T14:23:00Z</dcterms:created>
  <dcterms:modified xsi:type="dcterms:W3CDTF">2021-09-19T14:28:00Z</dcterms:modified>
</cp:coreProperties>
</file>